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Arial" w:hAnsi="Arial" w:eastAsia="宋体"/>
          <w:b/>
          <w:lang w:val="en-US" w:eastAsia="zh-CN"/>
        </w:rPr>
      </w:pPr>
      <w:r>
        <w:rPr>
          <w:rFonts w:hint="eastAsia" w:ascii="Arial" w:hAnsi="Arial"/>
          <w:b/>
          <w:sz w:val="32"/>
        </w:rPr>
        <w:t>《</w:t>
      </w:r>
      <w:bookmarkStart w:id="0" w:name="课程名称"/>
      <w:r>
        <w:rPr>
          <w:rFonts w:ascii="Courier New" w:hAnsi="Courier New"/>
          <w:b/>
          <w:sz w:val="32"/>
        </w:rPr>
        <w:fldChar w:fldCharType="begin"/>
      </w:r>
      <w:r>
        <w:rPr>
          <w:rFonts w:ascii="Courier New" w:hAnsi="Courier New"/>
          <w:b/>
          <w:sz w:val="32"/>
        </w:rPr>
        <w:instrText xml:space="preserve"> FILLIN "</w:instrText>
      </w:r>
      <w:r>
        <w:rPr>
          <w:rFonts w:hint="eastAsia" w:ascii="Courier New" w:hAnsi="Courier New"/>
          <w:b/>
          <w:sz w:val="32"/>
        </w:rPr>
        <w:instrText xml:space="preserve">请输入课程的名称：</w:instrText>
      </w:r>
      <w:r>
        <w:rPr>
          <w:rFonts w:ascii="Courier New" w:hAnsi="Courier New"/>
          <w:b/>
          <w:sz w:val="32"/>
        </w:rPr>
        <w:instrText xml:space="preserve">" \d "XXXX" \* MERGEFORMAT </w:instrText>
      </w:r>
      <w:r>
        <w:rPr>
          <w:rFonts w:ascii="Courier New" w:hAnsi="Courier New"/>
          <w:b/>
          <w:sz w:val="32"/>
        </w:rPr>
        <w:fldChar w:fldCharType="separate"/>
      </w:r>
      <w:r>
        <w:rPr>
          <w:rFonts w:hint="eastAsia" w:ascii="Courier New" w:hAnsi="Courier New"/>
          <w:b/>
          <w:sz w:val="32"/>
        </w:rPr>
        <w:t>建筑工程概预算</w:t>
      </w:r>
      <w:r>
        <w:rPr>
          <w:rFonts w:ascii="Courier New" w:hAnsi="Courier New"/>
          <w:b/>
          <w:sz w:val="32"/>
        </w:rPr>
        <w:fldChar w:fldCharType="end"/>
      </w:r>
      <w:bookmarkEnd w:id="0"/>
      <w:r>
        <w:rPr>
          <w:rFonts w:hint="eastAsia" w:ascii="Arial" w:hAnsi="Arial"/>
          <w:b/>
          <w:sz w:val="32"/>
        </w:rPr>
        <w:t>》</w:t>
      </w:r>
      <w:r>
        <w:rPr>
          <w:rFonts w:hint="eastAsia" w:ascii="Arial" w:hAnsi="Arial"/>
          <w:b/>
          <w:sz w:val="32"/>
          <w:lang w:eastAsia="zh-CN"/>
        </w:rPr>
        <w:t>复习资料</w:t>
      </w:r>
    </w:p>
    <w:p/>
    <w:p>
      <w:pPr>
        <w:rPr>
          <w:rFonts w:ascii="宋体" w:hAnsi="宋体"/>
          <w:szCs w:val="21"/>
        </w:rPr>
      </w:pPr>
      <w:r>
        <w:rPr>
          <w:rFonts w:hint="eastAsia" w:ascii="宋体" w:hAnsi="宋体"/>
          <w:szCs w:val="21"/>
        </w:rPr>
        <w:t>一、问答题</w:t>
      </w:r>
    </w:p>
    <w:p>
      <w:pPr>
        <w:widowControl/>
        <w:spacing w:line="460" w:lineRule="exact"/>
        <w:rPr>
          <w:rFonts w:ascii="宋体" w:hAnsi="宋体"/>
          <w:b/>
          <w:bCs/>
          <w:kern w:val="0"/>
          <w:szCs w:val="21"/>
        </w:rPr>
      </w:pPr>
      <w:r>
        <w:rPr>
          <w:rFonts w:hint="eastAsia" w:ascii="宋体" w:hAnsi="宋体"/>
          <w:b/>
          <w:bCs/>
          <w:kern w:val="0"/>
          <w:szCs w:val="21"/>
        </w:rPr>
        <w:t>1、计算规范中混凝土工程项目“工作内容”包括了模板的内容，同时又在措施项目中单列了现浇混凝土模板项目。并规定了招标人应根据工程实际情况选用，若招标人在措施项目清单中未编列现浇混凝土模板项目清单，即表示现浇混凝土模板项目不单列，现浇混凝土工程项目的综合单价中应包括模板工程费用。浙江省在具体贯彻实施时，模板工程清单编制及报价如何处理？</w:t>
      </w:r>
    </w:p>
    <w:p>
      <w:pPr>
        <w:widowControl/>
        <w:spacing w:line="460" w:lineRule="exact"/>
        <w:rPr>
          <w:rFonts w:ascii="宋体" w:hAnsi="宋体"/>
          <w:kern w:val="0"/>
          <w:szCs w:val="21"/>
        </w:rPr>
      </w:pPr>
      <w:r>
        <w:rPr>
          <w:rFonts w:hint="eastAsia" w:ascii="宋体" w:hAnsi="宋体"/>
          <w:color w:val="FF0000"/>
          <w:kern w:val="0"/>
          <w:szCs w:val="21"/>
        </w:rPr>
        <w:t>答</w:t>
      </w:r>
      <w:r>
        <w:rPr>
          <w:rFonts w:hint="eastAsia" w:ascii="宋体" w:hAnsi="宋体"/>
          <w:kern w:val="0"/>
          <w:szCs w:val="21"/>
        </w:rPr>
        <w:t>：浙江省在具体贯彻实施时，模板工程清单编制及报价按以下原则处理：</w:t>
      </w:r>
    </w:p>
    <w:p>
      <w:pPr>
        <w:widowControl/>
        <w:spacing w:line="460" w:lineRule="exact"/>
        <w:ind w:firstLine="420"/>
        <w:rPr>
          <w:rFonts w:ascii="宋体" w:hAnsi="宋体"/>
          <w:kern w:val="0"/>
          <w:szCs w:val="21"/>
        </w:rPr>
      </w:pPr>
      <w:r>
        <w:rPr>
          <w:rFonts w:hint="eastAsia" w:ascii="宋体" w:hAnsi="宋体"/>
          <w:kern w:val="0"/>
          <w:szCs w:val="21"/>
        </w:rPr>
        <w:t>（1）对于基础、柱、梁、板、墙等结构混凝土，模板应按措施项目单独列项。</w:t>
      </w:r>
    </w:p>
    <w:p>
      <w:pPr>
        <w:widowControl/>
        <w:spacing w:line="460" w:lineRule="exact"/>
        <w:ind w:firstLine="420"/>
        <w:rPr>
          <w:rFonts w:ascii="宋体" w:hAnsi="宋体"/>
          <w:kern w:val="0"/>
          <w:szCs w:val="21"/>
        </w:rPr>
      </w:pPr>
      <w:r>
        <w:rPr>
          <w:rFonts w:hint="eastAsia" w:ascii="宋体" w:hAnsi="宋体"/>
          <w:kern w:val="0"/>
          <w:szCs w:val="21"/>
        </w:rPr>
        <w:t>（2）对于建筑混凝土及附属工程混凝土项目，如混凝土找平层、混凝土散水、混凝土坡道等，其模板费用可包括在相应的混凝土清单项目中。</w:t>
      </w:r>
    </w:p>
    <w:p>
      <w:pPr>
        <w:widowControl/>
        <w:spacing w:line="460" w:lineRule="exact"/>
        <w:ind w:firstLine="420"/>
        <w:rPr>
          <w:rFonts w:hint="eastAsia" w:ascii="宋体" w:hAnsi="宋体"/>
          <w:kern w:val="0"/>
          <w:szCs w:val="21"/>
        </w:rPr>
      </w:pPr>
      <w:r>
        <w:rPr>
          <w:rFonts w:hint="eastAsia" w:ascii="宋体" w:hAnsi="宋体"/>
          <w:kern w:val="0"/>
          <w:szCs w:val="21"/>
        </w:rPr>
        <w:t>（3）不论采用哪种方法，都必须在编制说明或项目特征中予以说明，对于编制说明或项目特征中未说明的，模板工程按措施项目单独列项处理。</w:t>
      </w:r>
    </w:p>
    <w:p>
      <w:pPr>
        <w:widowControl/>
        <w:spacing w:line="460" w:lineRule="exact"/>
        <w:ind w:firstLine="420"/>
        <w:rPr>
          <w:rFonts w:hint="eastAsia" w:ascii="宋体" w:hAnsi="宋体"/>
          <w:kern w:val="0"/>
          <w:szCs w:val="21"/>
        </w:rPr>
      </w:pPr>
    </w:p>
    <w:p>
      <w:pPr>
        <w:rPr>
          <w:rFonts w:ascii="宋体" w:hAnsi="宋体"/>
          <w:b/>
          <w:bCs/>
          <w:kern w:val="0"/>
          <w:szCs w:val="21"/>
        </w:rPr>
      </w:pPr>
      <w:r>
        <w:rPr>
          <w:rFonts w:hint="eastAsia" w:ascii="宋体" w:hAnsi="宋体"/>
          <w:b/>
          <w:bCs/>
          <w:kern w:val="0"/>
          <w:szCs w:val="21"/>
        </w:rPr>
        <w:t>2、试述投资估算、设计概算、施工图预算、施工预算、竣工决算的概念与作用？</w:t>
      </w:r>
    </w:p>
    <w:p>
      <w:pPr>
        <w:rPr>
          <w:rFonts w:ascii="宋体" w:hAnsi="宋体"/>
          <w:kern w:val="0"/>
          <w:szCs w:val="21"/>
        </w:rPr>
      </w:pPr>
      <w:r>
        <w:rPr>
          <w:rFonts w:hint="eastAsia" w:ascii="宋体" w:hAnsi="宋体"/>
          <w:color w:val="FF0000"/>
          <w:kern w:val="0"/>
          <w:szCs w:val="21"/>
        </w:rPr>
        <w:t>答</w:t>
      </w:r>
      <w:r>
        <w:rPr>
          <w:rFonts w:hint="eastAsia" w:ascii="宋体" w:hAnsi="宋体"/>
          <w:kern w:val="0"/>
          <w:szCs w:val="21"/>
        </w:rPr>
        <w:t>：</w:t>
      </w:r>
      <w:r>
        <w:rPr>
          <w:rFonts w:hint="eastAsia" w:ascii="宋体" w:hAnsi="宋体"/>
          <w:b/>
          <w:bCs/>
          <w:kern w:val="0"/>
          <w:szCs w:val="21"/>
        </w:rPr>
        <w:t>投资估算：</w:t>
      </w:r>
    </w:p>
    <w:p>
      <w:pPr>
        <w:spacing w:line="360" w:lineRule="auto"/>
        <w:ind w:firstLine="420" w:firstLineChars="200"/>
        <w:rPr>
          <w:rFonts w:ascii="宋体" w:hAnsi="宋体"/>
          <w:kern w:val="0"/>
          <w:szCs w:val="21"/>
        </w:rPr>
      </w:pPr>
      <w:r>
        <w:rPr>
          <w:rFonts w:hint="eastAsia" w:ascii="宋体" w:hAnsi="宋体"/>
          <w:kern w:val="0"/>
          <w:szCs w:val="21"/>
        </w:rPr>
        <w:t>概念：投资估算是在对项目的建设规模、技术  方案、设备方案、选址方案和工程建设方案及项目进度计划等进行研究并基本确定的基础上，对建设项目总投资数额及分年资金需要量进行估算。</w:t>
      </w:r>
    </w:p>
    <w:p>
      <w:pPr>
        <w:spacing w:line="360" w:lineRule="auto"/>
        <w:ind w:firstLine="420" w:firstLineChars="200"/>
        <w:rPr>
          <w:rFonts w:ascii="宋体" w:hAnsi="宋体"/>
          <w:kern w:val="0"/>
          <w:szCs w:val="21"/>
        </w:rPr>
      </w:pPr>
      <w:r>
        <w:rPr>
          <w:rFonts w:hint="eastAsia" w:ascii="宋体" w:hAnsi="宋体"/>
          <w:kern w:val="0"/>
          <w:szCs w:val="21"/>
        </w:rPr>
        <w:t>作用：</w:t>
      </w:r>
    </w:p>
    <w:p>
      <w:pPr>
        <w:spacing w:line="360" w:lineRule="auto"/>
        <w:ind w:firstLine="420" w:firstLineChars="200"/>
        <w:rPr>
          <w:rFonts w:ascii="宋体" w:hAnsi="宋体"/>
          <w:kern w:val="0"/>
          <w:szCs w:val="21"/>
        </w:rPr>
      </w:pPr>
      <w:r>
        <w:rPr>
          <w:rFonts w:hint="eastAsia" w:ascii="宋体" w:hAnsi="宋体"/>
          <w:kern w:val="0"/>
          <w:szCs w:val="21"/>
        </w:rPr>
        <w:t>1）项目建议书阶段的投资估算，是项目主管部门审批项目建议书的依据之一，并对项目的规划和规模起参考作用。</w:t>
      </w:r>
    </w:p>
    <w:p>
      <w:pPr>
        <w:spacing w:line="360" w:lineRule="auto"/>
        <w:ind w:firstLine="420" w:firstLineChars="200"/>
        <w:rPr>
          <w:rFonts w:ascii="宋体" w:hAnsi="宋体"/>
          <w:kern w:val="0"/>
          <w:szCs w:val="21"/>
        </w:rPr>
      </w:pPr>
      <w:r>
        <w:rPr>
          <w:rFonts w:hint="eastAsia" w:ascii="宋体" w:hAnsi="宋体"/>
          <w:kern w:val="0"/>
          <w:szCs w:val="21"/>
        </w:rPr>
        <w:t>2）项目可行性研究阶段的投资估算是项目投资决策的重要依据，也是研究、分析和计算项目投资经济效果的重要条件。</w:t>
      </w:r>
    </w:p>
    <w:p>
      <w:pPr>
        <w:spacing w:line="360" w:lineRule="auto"/>
        <w:ind w:firstLine="420" w:firstLineChars="200"/>
        <w:rPr>
          <w:rFonts w:ascii="宋体" w:hAnsi="宋体"/>
          <w:kern w:val="0"/>
          <w:szCs w:val="21"/>
        </w:rPr>
      </w:pPr>
      <w:r>
        <w:rPr>
          <w:rFonts w:hint="eastAsia" w:ascii="宋体" w:hAnsi="宋体"/>
          <w:kern w:val="0"/>
          <w:szCs w:val="21"/>
        </w:rPr>
        <w:t>3）项目投资估算对工程设计概算起控制作用，设计概算不得突破有关部门批准的投资估算，并应控制在投资估算额以内。</w:t>
      </w:r>
    </w:p>
    <w:p>
      <w:pPr>
        <w:spacing w:line="360" w:lineRule="auto"/>
        <w:ind w:firstLine="420" w:firstLineChars="200"/>
        <w:rPr>
          <w:rFonts w:ascii="宋体" w:hAnsi="宋体"/>
          <w:kern w:val="0"/>
          <w:szCs w:val="21"/>
        </w:rPr>
      </w:pPr>
      <w:r>
        <w:rPr>
          <w:rFonts w:hint="eastAsia" w:ascii="宋体" w:hAnsi="宋体"/>
          <w:kern w:val="0"/>
          <w:szCs w:val="21"/>
        </w:rPr>
        <w:t>4） 项目投资估算可作为项目资金筹措及制定建设贷款计划的依据，建设单位可根据批准的项目投资估算额，进行资金筹措和向银行申请贷款。</w:t>
      </w:r>
    </w:p>
    <w:p>
      <w:pPr>
        <w:spacing w:line="360" w:lineRule="auto"/>
        <w:ind w:firstLine="420" w:firstLineChars="200"/>
        <w:rPr>
          <w:rFonts w:ascii="宋体" w:hAnsi="宋体"/>
          <w:kern w:val="0"/>
          <w:szCs w:val="21"/>
        </w:rPr>
      </w:pPr>
      <w:r>
        <w:rPr>
          <w:rFonts w:hint="eastAsia" w:ascii="宋体" w:hAnsi="宋体"/>
          <w:kern w:val="0"/>
          <w:szCs w:val="21"/>
        </w:rPr>
        <w:t>5）项目投资估算是核算建设项目固定资产投资需要额和编制固定资产投资计划的重要依据。</w:t>
      </w:r>
    </w:p>
    <w:p>
      <w:pPr>
        <w:spacing w:line="360" w:lineRule="auto"/>
        <w:ind w:firstLine="420" w:firstLineChars="200"/>
        <w:rPr>
          <w:rFonts w:ascii="宋体" w:hAnsi="宋体"/>
          <w:kern w:val="0"/>
          <w:szCs w:val="21"/>
        </w:rPr>
      </w:pPr>
      <w:r>
        <w:rPr>
          <w:rFonts w:hint="eastAsia" w:ascii="宋体" w:hAnsi="宋体"/>
          <w:kern w:val="0"/>
          <w:szCs w:val="21"/>
        </w:rPr>
        <w:t>6）项目投资估算是进行工程设计招标、优选设计方案的依据之一。它也是工程限额设计的依据。</w:t>
      </w:r>
    </w:p>
    <w:p>
      <w:pPr>
        <w:rPr>
          <w:rFonts w:ascii="宋体" w:hAnsi="宋体"/>
          <w:b/>
          <w:bCs/>
          <w:kern w:val="0"/>
          <w:szCs w:val="21"/>
        </w:rPr>
      </w:pPr>
      <w:r>
        <w:rPr>
          <w:rFonts w:hint="eastAsia" w:ascii="宋体" w:hAnsi="宋体"/>
          <w:b/>
          <w:bCs/>
          <w:kern w:val="0"/>
          <w:szCs w:val="21"/>
        </w:rPr>
        <w:t>设计概算：</w:t>
      </w:r>
    </w:p>
    <w:p>
      <w:pPr>
        <w:spacing w:line="360" w:lineRule="auto"/>
        <w:ind w:firstLine="420" w:firstLineChars="200"/>
        <w:rPr>
          <w:rFonts w:ascii="宋体" w:hAnsi="宋体"/>
          <w:kern w:val="0"/>
          <w:szCs w:val="21"/>
        </w:rPr>
      </w:pPr>
      <w:r>
        <w:rPr>
          <w:rFonts w:hint="eastAsia" w:ascii="宋体" w:hAnsi="宋体"/>
          <w:kern w:val="0"/>
          <w:szCs w:val="21"/>
        </w:rPr>
        <w:t>概念：设计概算是根据相应设计阶段的设计图纸及说明、施工组织设计及施工方法、工程量计算规则、工程建设主管部门颁发的概算定额(或概算指标)和概算编制规定、各项费用定额(或取费标准)、设备、材料预算价格等资料，用科学的方法计算、编制和确定建设项目从筹建至竣工交付使用全过程建设费用的工程造价文件，也是设计文件的重要组成部分。</w:t>
      </w:r>
    </w:p>
    <w:p>
      <w:pPr>
        <w:spacing w:line="360" w:lineRule="auto"/>
        <w:ind w:firstLine="420" w:firstLineChars="200"/>
        <w:rPr>
          <w:rFonts w:ascii="宋体" w:hAnsi="宋体"/>
          <w:kern w:val="0"/>
          <w:szCs w:val="21"/>
        </w:rPr>
      </w:pPr>
      <w:r>
        <w:rPr>
          <w:rFonts w:hint="eastAsia" w:ascii="宋体" w:hAnsi="宋体"/>
          <w:kern w:val="0"/>
          <w:szCs w:val="21"/>
        </w:rPr>
        <w:t>作用：</w:t>
      </w:r>
    </w:p>
    <w:p>
      <w:pPr>
        <w:numPr>
          <w:ilvl w:val="0"/>
          <w:numId w:val="1"/>
        </w:numPr>
        <w:spacing w:line="360" w:lineRule="auto"/>
        <w:ind w:firstLine="420" w:firstLineChars="200"/>
        <w:rPr>
          <w:rFonts w:ascii="宋体" w:hAnsi="宋体"/>
          <w:kern w:val="0"/>
          <w:szCs w:val="21"/>
        </w:rPr>
      </w:pPr>
      <w:r>
        <w:rPr>
          <w:rFonts w:hint="eastAsia" w:ascii="宋体" w:hAnsi="宋体"/>
          <w:kern w:val="0"/>
          <w:szCs w:val="21"/>
        </w:rPr>
        <w:t>设计概算是编制建设项目投资计划、确定与控制建设项目投资的依据。</w:t>
      </w:r>
    </w:p>
    <w:p>
      <w:pPr>
        <w:numPr>
          <w:ilvl w:val="0"/>
          <w:numId w:val="1"/>
        </w:numPr>
        <w:spacing w:line="360" w:lineRule="auto"/>
        <w:ind w:firstLine="420" w:firstLineChars="200"/>
        <w:rPr>
          <w:rFonts w:ascii="宋体" w:hAnsi="宋体"/>
          <w:kern w:val="0"/>
          <w:szCs w:val="21"/>
        </w:rPr>
      </w:pPr>
      <w:r>
        <w:rPr>
          <w:rFonts w:hint="eastAsia" w:ascii="宋体" w:hAnsi="宋体"/>
          <w:kern w:val="0"/>
          <w:szCs w:val="21"/>
        </w:rPr>
        <w:t>经批准的建设项目设计概算的投资金额,是该工程建设的最高限额。</w:t>
      </w:r>
    </w:p>
    <w:p>
      <w:pPr>
        <w:numPr>
          <w:ilvl w:val="0"/>
          <w:numId w:val="1"/>
        </w:numPr>
        <w:spacing w:line="360" w:lineRule="auto"/>
        <w:ind w:firstLine="420" w:firstLineChars="200"/>
        <w:rPr>
          <w:rFonts w:ascii="宋体" w:hAnsi="宋体"/>
          <w:kern w:val="0"/>
          <w:szCs w:val="21"/>
        </w:rPr>
      </w:pPr>
      <w:r>
        <w:rPr>
          <w:rFonts w:hint="eastAsia" w:ascii="宋体" w:hAnsi="宋体"/>
          <w:kern w:val="0"/>
          <w:szCs w:val="21"/>
        </w:rPr>
        <w:t>设计概算是是工程造价管理、控制施工图预算及编制招标标底报价的依据。</w:t>
      </w:r>
    </w:p>
    <w:p>
      <w:pPr>
        <w:numPr>
          <w:ilvl w:val="0"/>
          <w:numId w:val="1"/>
        </w:numPr>
        <w:spacing w:line="360" w:lineRule="auto"/>
        <w:ind w:firstLine="420" w:firstLineChars="200"/>
        <w:rPr>
          <w:rFonts w:ascii="宋体" w:hAnsi="宋体"/>
          <w:kern w:val="0"/>
          <w:szCs w:val="21"/>
        </w:rPr>
      </w:pPr>
      <w:r>
        <w:rPr>
          <w:rFonts w:hint="eastAsia" w:ascii="宋体" w:hAnsi="宋体"/>
          <w:kern w:val="0"/>
          <w:szCs w:val="21"/>
        </w:rPr>
        <w:t>设计概算是签订总承包合同和贷款合同的依据。</w:t>
      </w:r>
    </w:p>
    <w:p>
      <w:pPr>
        <w:numPr>
          <w:ilvl w:val="0"/>
          <w:numId w:val="1"/>
        </w:numPr>
        <w:spacing w:line="360" w:lineRule="auto"/>
        <w:ind w:firstLine="420" w:firstLineChars="200"/>
        <w:rPr>
          <w:rFonts w:ascii="宋体" w:hAnsi="宋体"/>
          <w:kern w:val="0"/>
          <w:szCs w:val="21"/>
        </w:rPr>
      </w:pPr>
      <w:r>
        <w:rPr>
          <w:rFonts w:hint="eastAsia" w:ascii="宋体" w:hAnsi="宋体"/>
          <w:kern w:val="0"/>
          <w:szCs w:val="21"/>
        </w:rPr>
        <w:t>设计概算是考核建设项目投资效果的依据。</w:t>
      </w:r>
    </w:p>
    <w:p>
      <w:pPr>
        <w:numPr>
          <w:ilvl w:val="0"/>
          <w:numId w:val="1"/>
        </w:numPr>
        <w:spacing w:line="360" w:lineRule="auto"/>
        <w:ind w:firstLine="420" w:firstLineChars="200"/>
        <w:rPr>
          <w:rFonts w:ascii="宋体" w:hAnsi="宋体"/>
          <w:kern w:val="0"/>
          <w:szCs w:val="21"/>
        </w:rPr>
      </w:pPr>
      <w:r>
        <w:rPr>
          <w:rFonts w:hint="eastAsia" w:ascii="宋体" w:hAnsi="宋体"/>
          <w:kern w:val="0"/>
          <w:szCs w:val="21"/>
        </w:rPr>
        <w:t>设计概算是衡量设计方案技术经济合理性和选择最佳设计方案的依据。</w:t>
      </w:r>
    </w:p>
    <w:p>
      <w:pPr>
        <w:rPr>
          <w:rFonts w:ascii="宋体" w:hAnsi="宋体"/>
          <w:b/>
          <w:bCs/>
          <w:kern w:val="0"/>
          <w:szCs w:val="21"/>
        </w:rPr>
      </w:pPr>
      <w:r>
        <w:rPr>
          <w:rFonts w:hint="eastAsia" w:ascii="宋体" w:hAnsi="宋体"/>
          <w:b/>
          <w:bCs/>
          <w:kern w:val="0"/>
          <w:szCs w:val="21"/>
        </w:rPr>
        <w:t>施工图预算：</w:t>
      </w:r>
    </w:p>
    <w:p>
      <w:pPr>
        <w:spacing w:line="360" w:lineRule="auto"/>
        <w:ind w:firstLine="420" w:firstLineChars="200"/>
        <w:rPr>
          <w:rFonts w:ascii="宋体" w:hAnsi="宋体"/>
          <w:kern w:val="0"/>
          <w:szCs w:val="21"/>
        </w:rPr>
      </w:pPr>
      <w:r>
        <w:rPr>
          <w:rFonts w:hint="eastAsia" w:ascii="宋体" w:hAnsi="宋体"/>
          <w:kern w:val="0"/>
          <w:szCs w:val="21"/>
        </w:rPr>
        <w:t>概念：施工图预算是指根据施工图、预算定额、各项取费标准、建设地区的自然及技术经济条件等资料编制的建筑安装工程预算造价文件。（施工图纸已出，施工前编制，确定建筑工程造价和主要物资需用量）。</w:t>
      </w:r>
    </w:p>
    <w:p>
      <w:pPr>
        <w:spacing w:line="360" w:lineRule="auto"/>
        <w:ind w:firstLine="420" w:firstLineChars="200"/>
        <w:rPr>
          <w:rFonts w:ascii="宋体" w:hAnsi="宋体"/>
          <w:kern w:val="0"/>
          <w:szCs w:val="21"/>
        </w:rPr>
      </w:pPr>
      <w:r>
        <w:rPr>
          <w:rFonts w:hint="eastAsia" w:ascii="宋体" w:hAnsi="宋体"/>
          <w:kern w:val="0"/>
          <w:szCs w:val="21"/>
        </w:rPr>
        <w:t>作用：是企业收入的标准，用于企业对外关系，确定造价。</w:t>
      </w:r>
    </w:p>
    <w:p>
      <w:pPr>
        <w:numPr>
          <w:ilvl w:val="0"/>
          <w:numId w:val="2"/>
        </w:numPr>
        <w:spacing w:line="360" w:lineRule="auto"/>
        <w:ind w:firstLine="420" w:firstLineChars="200"/>
        <w:rPr>
          <w:rFonts w:ascii="宋体" w:hAnsi="宋体"/>
          <w:kern w:val="0"/>
          <w:szCs w:val="21"/>
        </w:rPr>
      </w:pPr>
      <w:r>
        <w:rPr>
          <w:rFonts w:hint="eastAsia" w:ascii="宋体" w:hAnsi="宋体"/>
          <w:kern w:val="0"/>
          <w:szCs w:val="21"/>
        </w:rPr>
        <w:t>对建设单位</w:t>
      </w:r>
    </w:p>
    <w:p>
      <w:pPr>
        <w:numPr>
          <w:ilvl w:val="0"/>
          <w:numId w:val="3"/>
        </w:numPr>
        <w:spacing w:line="360" w:lineRule="auto"/>
        <w:ind w:firstLine="420" w:firstLineChars="200"/>
        <w:rPr>
          <w:rFonts w:ascii="宋体" w:hAnsi="宋体"/>
          <w:kern w:val="0"/>
          <w:szCs w:val="21"/>
        </w:rPr>
      </w:pPr>
      <w:r>
        <w:rPr>
          <w:rFonts w:hint="eastAsia" w:ascii="宋体" w:hAnsi="宋体"/>
          <w:kern w:val="0"/>
          <w:szCs w:val="21"/>
        </w:rPr>
        <w:t>施工图预算是施工图设计阶段确定建设工程项目造价的依据，是设计文件的组成部分。</w:t>
      </w:r>
    </w:p>
    <w:p>
      <w:pPr>
        <w:numPr>
          <w:ilvl w:val="0"/>
          <w:numId w:val="3"/>
        </w:numPr>
        <w:spacing w:line="360" w:lineRule="auto"/>
        <w:ind w:firstLine="420" w:firstLineChars="200"/>
        <w:rPr>
          <w:rFonts w:ascii="宋体" w:hAnsi="宋体"/>
          <w:kern w:val="0"/>
          <w:szCs w:val="21"/>
        </w:rPr>
      </w:pPr>
      <w:r>
        <w:rPr>
          <w:rFonts w:hint="eastAsia" w:ascii="宋体" w:hAnsi="宋体"/>
          <w:kern w:val="0"/>
          <w:szCs w:val="21"/>
        </w:rPr>
        <w:t>施工图预算是建设单位在施工期间安排建设资金计划和使用建设资金的依据。</w:t>
      </w:r>
    </w:p>
    <w:p>
      <w:pPr>
        <w:numPr>
          <w:ilvl w:val="0"/>
          <w:numId w:val="3"/>
        </w:numPr>
        <w:spacing w:line="360" w:lineRule="auto"/>
        <w:ind w:firstLine="420" w:firstLineChars="200"/>
        <w:rPr>
          <w:rFonts w:ascii="宋体" w:hAnsi="宋体"/>
          <w:kern w:val="0"/>
          <w:szCs w:val="21"/>
        </w:rPr>
      </w:pPr>
      <w:r>
        <w:rPr>
          <w:rFonts w:hint="eastAsia" w:ascii="宋体" w:hAnsi="宋体"/>
          <w:kern w:val="0"/>
          <w:szCs w:val="21"/>
        </w:rPr>
        <w:t>施工图预算是招投标的重要基础，既是工程量清单的编制依据，也是招标控制价编制的依据。</w:t>
      </w:r>
    </w:p>
    <w:p>
      <w:pPr>
        <w:numPr>
          <w:ilvl w:val="0"/>
          <w:numId w:val="3"/>
        </w:numPr>
        <w:spacing w:line="360" w:lineRule="auto"/>
        <w:ind w:firstLine="420" w:firstLineChars="200"/>
        <w:rPr>
          <w:rFonts w:ascii="宋体" w:hAnsi="宋体"/>
          <w:kern w:val="0"/>
          <w:szCs w:val="21"/>
        </w:rPr>
      </w:pPr>
      <w:r>
        <w:rPr>
          <w:rFonts w:hint="eastAsia" w:ascii="宋体" w:hAnsi="宋体"/>
          <w:kern w:val="0"/>
          <w:szCs w:val="21"/>
        </w:rPr>
        <w:t>施工图预算是拨付进度款及办理结算的依据。</w:t>
      </w:r>
    </w:p>
    <w:p>
      <w:pPr>
        <w:numPr>
          <w:ilvl w:val="0"/>
          <w:numId w:val="4"/>
        </w:numPr>
        <w:spacing w:line="360" w:lineRule="auto"/>
        <w:ind w:firstLine="420" w:firstLineChars="200"/>
        <w:rPr>
          <w:rFonts w:ascii="宋体" w:hAnsi="宋体"/>
          <w:kern w:val="0"/>
          <w:szCs w:val="21"/>
        </w:rPr>
      </w:pPr>
      <w:r>
        <w:rPr>
          <w:rFonts w:hint="eastAsia" w:ascii="宋体" w:hAnsi="宋体"/>
          <w:kern w:val="0"/>
          <w:szCs w:val="21"/>
        </w:rPr>
        <w:t>对施工单位</w:t>
      </w:r>
    </w:p>
    <w:p>
      <w:pPr>
        <w:numPr>
          <w:ilvl w:val="0"/>
          <w:numId w:val="5"/>
        </w:numPr>
        <w:spacing w:line="360" w:lineRule="auto"/>
        <w:ind w:firstLine="420" w:firstLineChars="200"/>
        <w:rPr>
          <w:rFonts w:ascii="宋体" w:hAnsi="宋体"/>
          <w:kern w:val="0"/>
          <w:szCs w:val="21"/>
        </w:rPr>
      </w:pPr>
      <w:r>
        <w:rPr>
          <w:rFonts w:hint="eastAsia" w:ascii="宋体" w:hAnsi="宋体"/>
          <w:kern w:val="0"/>
          <w:szCs w:val="21"/>
        </w:rPr>
        <w:t>施工图预算是确定投标报价的依据。</w:t>
      </w:r>
    </w:p>
    <w:p>
      <w:pPr>
        <w:numPr>
          <w:ilvl w:val="0"/>
          <w:numId w:val="5"/>
        </w:numPr>
        <w:spacing w:line="360" w:lineRule="auto"/>
        <w:ind w:firstLine="420" w:firstLineChars="200"/>
        <w:rPr>
          <w:rFonts w:ascii="宋体" w:hAnsi="宋体"/>
          <w:kern w:val="0"/>
          <w:szCs w:val="21"/>
        </w:rPr>
      </w:pPr>
      <w:r>
        <w:rPr>
          <w:rFonts w:hint="eastAsia" w:ascii="宋体" w:hAnsi="宋体"/>
          <w:kern w:val="0"/>
          <w:szCs w:val="21"/>
        </w:rPr>
        <w:t>施工图预算是施工单位进行施工准备的依据，是施工单位在施工前组织材料、机具、设备及劳动力供应的重要参考，是施工单位编制进度计划、统计完成工作量、进行经济核算的参考依据。</w:t>
      </w:r>
    </w:p>
    <w:p>
      <w:pPr>
        <w:numPr>
          <w:ilvl w:val="0"/>
          <w:numId w:val="5"/>
        </w:numPr>
        <w:spacing w:line="360" w:lineRule="auto"/>
        <w:ind w:firstLine="420" w:firstLineChars="200"/>
        <w:rPr>
          <w:rFonts w:ascii="宋体" w:hAnsi="宋体"/>
          <w:kern w:val="0"/>
          <w:szCs w:val="21"/>
        </w:rPr>
      </w:pPr>
      <w:r>
        <w:rPr>
          <w:rFonts w:hint="eastAsia" w:ascii="宋体" w:hAnsi="宋体"/>
          <w:kern w:val="0"/>
          <w:szCs w:val="21"/>
        </w:rPr>
        <w:t>施工图预算是控制施工成本的依据。</w:t>
      </w:r>
    </w:p>
    <w:p>
      <w:pPr>
        <w:numPr>
          <w:ilvl w:val="0"/>
          <w:numId w:val="4"/>
        </w:numPr>
        <w:spacing w:line="360" w:lineRule="auto"/>
        <w:ind w:firstLine="420" w:firstLineChars="200"/>
        <w:rPr>
          <w:rFonts w:ascii="宋体" w:hAnsi="宋体"/>
          <w:kern w:val="0"/>
          <w:szCs w:val="21"/>
        </w:rPr>
      </w:pPr>
      <w:r>
        <w:rPr>
          <w:rFonts w:hint="eastAsia" w:ascii="宋体" w:hAnsi="宋体"/>
          <w:kern w:val="0"/>
          <w:szCs w:val="21"/>
        </w:rPr>
        <w:t>对其他单位</w:t>
      </w:r>
    </w:p>
    <w:p>
      <w:pPr>
        <w:numPr>
          <w:ilvl w:val="0"/>
          <w:numId w:val="6"/>
        </w:numPr>
        <w:spacing w:line="360" w:lineRule="auto"/>
        <w:ind w:firstLine="420" w:firstLineChars="200"/>
        <w:rPr>
          <w:rFonts w:ascii="宋体" w:hAnsi="宋体"/>
          <w:kern w:val="0"/>
          <w:szCs w:val="21"/>
        </w:rPr>
      </w:pPr>
      <w:r>
        <w:rPr>
          <w:rFonts w:hint="eastAsia" w:ascii="宋体" w:hAnsi="宋体"/>
          <w:kern w:val="0"/>
          <w:szCs w:val="21"/>
        </w:rPr>
        <w:t>对于工程咨询单位而言，尽可能客观、准确地为委托方做出施工图预算，是其业务水平、素质和信誉的体现。</w:t>
      </w:r>
    </w:p>
    <w:p>
      <w:pPr>
        <w:numPr>
          <w:ilvl w:val="0"/>
          <w:numId w:val="6"/>
        </w:numPr>
        <w:spacing w:line="360" w:lineRule="auto"/>
        <w:ind w:firstLine="420" w:firstLineChars="200"/>
        <w:rPr>
          <w:rFonts w:ascii="宋体" w:hAnsi="宋体"/>
          <w:kern w:val="0"/>
          <w:szCs w:val="21"/>
        </w:rPr>
      </w:pPr>
      <w:r>
        <w:rPr>
          <w:rFonts w:hint="eastAsia" w:ascii="宋体" w:hAnsi="宋体"/>
          <w:kern w:val="0"/>
          <w:szCs w:val="21"/>
        </w:rPr>
        <w:t>对于工程造价管理部门而言，施工图预算是监督检查执行定额标准、合理确定工程造价、测算造价指数及审定招标工程标底的重要依据。</w:t>
      </w:r>
    </w:p>
    <w:p>
      <w:pPr>
        <w:rPr>
          <w:rFonts w:ascii="宋体" w:hAnsi="宋体"/>
          <w:b/>
          <w:bCs/>
          <w:kern w:val="0"/>
          <w:szCs w:val="21"/>
        </w:rPr>
      </w:pPr>
      <w:r>
        <w:rPr>
          <w:rFonts w:hint="eastAsia" w:ascii="宋体" w:hAnsi="宋体"/>
          <w:b/>
          <w:bCs/>
          <w:kern w:val="0"/>
          <w:szCs w:val="21"/>
        </w:rPr>
        <w:t>施工预算：</w:t>
      </w:r>
    </w:p>
    <w:p>
      <w:pPr>
        <w:spacing w:line="360" w:lineRule="auto"/>
        <w:ind w:firstLine="420" w:firstLineChars="200"/>
        <w:rPr>
          <w:rFonts w:ascii="宋体" w:hAnsi="宋体"/>
          <w:kern w:val="0"/>
          <w:szCs w:val="21"/>
        </w:rPr>
      </w:pPr>
      <w:r>
        <w:rPr>
          <w:rFonts w:hint="eastAsia" w:ascii="宋体" w:hAnsi="宋体"/>
          <w:kern w:val="0"/>
          <w:szCs w:val="21"/>
        </w:rPr>
        <w:t>概念：施工预算是编制实施性成本计划的主要依据，是施工企业为了加强企业内部经济核算，在施工图预算的控制下，依据企业的内部施工定额，以建筑安装单位工程为对象，根据施工图纸，施工定额，施工及验收规范，标准图集，施工组织设计（施工方案）编制的单位工程施工所需要的人工，材料，施工机械台班用量的技术经济文件。（合同签好后由施工单位编制，用于企业内部经济核算和班组承包依据。）</w:t>
      </w:r>
    </w:p>
    <w:p>
      <w:pPr>
        <w:spacing w:line="360" w:lineRule="auto"/>
        <w:ind w:firstLine="420" w:firstLineChars="200"/>
        <w:rPr>
          <w:rFonts w:ascii="宋体" w:hAnsi="宋体"/>
          <w:kern w:val="0"/>
          <w:szCs w:val="21"/>
        </w:rPr>
      </w:pPr>
      <w:r>
        <w:rPr>
          <w:rFonts w:hint="eastAsia" w:ascii="宋体" w:hAnsi="宋体"/>
          <w:kern w:val="0"/>
          <w:szCs w:val="21"/>
        </w:rPr>
        <w:t>作用：企业支出的标准，用于企业内部。</w:t>
      </w:r>
    </w:p>
    <w:p>
      <w:pPr>
        <w:spacing w:line="360" w:lineRule="auto"/>
        <w:ind w:firstLine="420" w:firstLineChars="200"/>
        <w:rPr>
          <w:rFonts w:ascii="宋体" w:hAnsi="宋体"/>
          <w:kern w:val="0"/>
          <w:szCs w:val="21"/>
        </w:rPr>
      </w:pPr>
      <w:r>
        <w:rPr>
          <w:rFonts w:hint="eastAsia" w:ascii="宋体" w:hAnsi="宋体"/>
          <w:kern w:val="0"/>
          <w:szCs w:val="21"/>
        </w:rPr>
        <w:t>1）施工企业据以编制施工计划、材料需用计划、劳动力使用计划，以及对外加工定货计划，实行定额管理和计划管理。</w:t>
      </w:r>
    </w:p>
    <w:p>
      <w:pPr>
        <w:spacing w:line="360" w:lineRule="auto"/>
        <w:ind w:firstLine="420" w:firstLineChars="200"/>
        <w:rPr>
          <w:rFonts w:ascii="宋体" w:hAnsi="宋体"/>
          <w:kern w:val="0"/>
          <w:szCs w:val="21"/>
        </w:rPr>
      </w:pPr>
      <w:r>
        <w:rPr>
          <w:rFonts w:hint="eastAsia" w:ascii="宋体" w:hAnsi="宋体"/>
          <w:kern w:val="0"/>
          <w:szCs w:val="21"/>
        </w:rPr>
        <w:t>2）据以签发施工任务书，限额领料、实行班组经济核算以及奖励。</w:t>
      </w:r>
    </w:p>
    <w:p>
      <w:pPr>
        <w:spacing w:line="360" w:lineRule="auto"/>
        <w:ind w:firstLine="420" w:firstLineChars="200"/>
        <w:rPr>
          <w:rFonts w:ascii="宋体" w:hAnsi="宋体"/>
          <w:kern w:val="0"/>
          <w:szCs w:val="21"/>
        </w:rPr>
      </w:pPr>
      <w:r>
        <w:rPr>
          <w:rFonts w:hint="eastAsia" w:ascii="宋体" w:hAnsi="宋体"/>
          <w:kern w:val="0"/>
          <w:szCs w:val="21"/>
        </w:rPr>
        <w:t>3）据以检查和考核施工图预算编制的正确程度，以便控制成本、开展经济活动分析，督促技术节约措施的贯彻执行。</w:t>
      </w:r>
    </w:p>
    <w:p>
      <w:pPr>
        <w:rPr>
          <w:rFonts w:ascii="宋体" w:hAnsi="宋体"/>
          <w:b/>
          <w:bCs/>
          <w:kern w:val="0"/>
          <w:szCs w:val="21"/>
        </w:rPr>
      </w:pPr>
      <w:r>
        <w:rPr>
          <w:rFonts w:hint="eastAsia" w:ascii="宋体" w:hAnsi="宋体"/>
          <w:b/>
          <w:bCs/>
          <w:kern w:val="0"/>
          <w:szCs w:val="21"/>
        </w:rPr>
        <w:t>竣工决算：</w:t>
      </w:r>
    </w:p>
    <w:p>
      <w:pPr>
        <w:spacing w:line="360" w:lineRule="auto"/>
        <w:ind w:firstLine="420" w:firstLineChars="200"/>
        <w:rPr>
          <w:rFonts w:ascii="宋体" w:hAnsi="宋体"/>
          <w:kern w:val="0"/>
          <w:szCs w:val="21"/>
        </w:rPr>
      </w:pPr>
      <w:r>
        <w:rPr>
          <w:rFonts w:hint="eastAsia" w:ascii="宋体" w:hAnsi="宋体"/>
          <w:kern w:val="0"/>
          <w:szCs w:val="21"/>
        </w:rPr>
        <w:t>概念：是指竣工验收交付使用阶段，由建设方编制的建设项目从筹建到竣工全过程实际造价。是以建设单位为主，在监理工程师和施工单位的配合下，共同完成的，是建设工程所特有的多次性计价环节中的最后一次计价。</w:t>
      </w:r>
    </w:p>
    <w:p>
      <w:pPr>
        <w:spacing w:line="360" w:lineRule="auto"/>
        <w:ind w:firstLine="420" w:firstLineChars="200"/>
        <w:rPr>
          <w:rFonts w:ascii="宋体" w:hAnsi="宋体"/>
          <w:kern w:val="0"/>
          <w:szCs w:val="21"/>
        </w:rPr>
      </w:pPr>
      <w:r>
        <w:rPr>
          <w:rFonts w:hint="eastAsia" w:ascii="宋体" w:hAnsi="宋体"/>
          <w:kern w:val="0"/>
          <w:szCs w:val="21"/>
        </w:rPr>
        <w:t>作用：</w:t>
      </w:r>
    </w:p>
    <w:p>
      <w:pPr>
        <w:numPr>
          <w:ilvl w:val="0"/>
          <w:numId w:val="7"/>
        </w:numPr>
        <w:spacing w:line="360" w:lineRule="auto"/>
        <w:ind w:firstLine="420" w:firstLineChars="200"/>
        <w:rPr>
          <w:rFonts w:ascii="宋体" w:hAnsi="宋体"/>
          <w:kern w:val="0"/>
          <w:szCs w:val="21"/>
        </w:rPr>
      </w:pPr>
      <w:r>
        <w:rPr>
          <w:rFonts w:hint="eastAsia" w:ascii="宋体" w:hAnsi="宋体"/>
          <w:kern w:val="0"/>
          <w:szCs w:val="21"/>
        </w:rPr>
        <w:t>竣工决算是建设工程经济效益的全面反映，是项目法人核定各类新增资产价值，办理其交付使用的依据。</w:t>
      </w:r>
    </w:p>
    <w:p>
      <w:pPr>
        <w:numPr>
          <w:ilvl w:val="0"/>
          <w:numId w:val="7"/>
        </w:numPr>
        <w:spacing w:line="360" w:lineRule="auto"/>
        <w:ind w:firstLine="420" w:firstLineChars="200"/>
        <w:rPr>
          <w:rFonts w:ascii="宋体" w:hAnsi="宋体"/>
          <w:kern w:val="0"/>
          <w:szCs w:val="21"/>
        </w:rPr>
      </w:pPr>
      <w:r>
        <w:rPr>
          <w:rFonts w:hint="eastAsia" w:ascii="宋体" w:hAnsi="宋体"/>
          <w:kern w:val="0"/>
          <w:szCs w:val="21"/>
        </w:rPr>
        <w:t>通过竣工决算，一方面能够正确反映建设工程的实际造价和投资结果。</w:t>
      </w:r>
    </w:p>
    <w:p>
      <w:pPr>
        <w:numPr>
          <w:ilvl w:val="0"/>
          <w:numId w:val="7"/>
        </w:numPr>
        <w:spacing w:line="360" w:lineRule="auto"/>
        <w:ind w:firstLine="420" w:firstLineChars="200"/>
        <w:rPr>
          <w:rFonts w:ascii="宋体" w:hAnsi="宋体"/>
          <w:kern w:val="0"/>
          <w:szCs w:val="21"/>
        </w:rPr>
      </w:pPr>
      <w:r>
        <w:rPr>
          <w:rFonts w:hint="eastAsia" w:ascii="宋体" w:hAnsi="宋体"/>
          <w:kern w:val="0"/>
          <w:szCs w:val="21"/>
        </w:rPr>
        <w:t>另一方面可以通过竣工决算与概算、预算的对比分析，考核投资控制的工作成效，总结经验教训，积累技术经济方面的基础资料，提高未来建设工程的投资效益。</w:t>
      </w:r>
    </w:p>
    <w:p>
      <w:pPr>
        <w:numPr>
          <w:ilvl w:val="0"/>
          <w:numId w:val="7"/>
        </w:numPr>
        <w:spacing w:line="360" w:lineRule="auto"/>
        <w:ind w:firstLine="420" w:firstLineChars="200"/>
        <w:rPr>
          <w:rFonts w:ascii="宋体" w:hAnsi="宋体"/>
          <w:kern w:val="0"/>
          <w:szCs w:val="21"/>
        </w:rPr>
      </w:pPr>
      <w:r>
        <w:rPr>
          <w:rFonts w:hint="eastAsia" w:ascii="宋体" w:hAnsi="宋体"/>
          <w:kern w:val="0"/>
          <w:szCs w:val="21"/>
        </w:rPr>
        <w:t>是作为</w:t>
      </w:r>
      <w:r>
        <w:fldChar w:fldCharType="begin"/>
      </w:r>
      <w:r>
        <w:instrText xml:space="preserve"> HYPERLINK "https://baike.baidu.com/item/%E5%BB%BA%E8%AE%BE%E5%8D%95%E4%BD%8D/6593875" \t "https://baike.baidu.com/item/%E7%AB%A3%E5%B7%A5%E5%86%B3%E7%AE%97/_blank" </w:instrText>
      </w:r>
      <w:r>
        <w:fldChar w:fldCharType="separate"/>
      </w:r>
      <w:r>
        <w:rPr>
          <w:rFonts w:hint="eastAsia" w:ascii="宋体" w:hAnsi="宋体"/>
          <w:kern w:val="0"/>
          <w:szCs w:val="21"/>
        </w:rPr>
        <w:t>建设单位</w:t>
      </w:r>
      <w:r>
        <w:rPr>
          <w:rFonts w:hint="eastAsia" w:ascii="宋体" w:hAnsi="宋体"/>
          <w:kern w:val="0"/>
          <w:szCs w:val="21"/>
        </w:rPr>
        <w:fldChar w:fldCharType="end"/>
      </w:r>
      <w:r>
        <w:fldChar w:fldCharType="begin"/>
      </w:r>
      <w:r>
        <w:instrText xml:space="preserve"> HYPERLINK "https://baike.baidu.com/item/%E8%B4%A2%E5%8A%A1%E9%83%A8%E9%97%A8/1876219" \t "https://baike.baidu.com/item/%E7%AB%A3%E5%B7%A5%E5%86%B3%E7%AE%97/_blank" </w:instrText>
      </w:r>
      <w:r>
        <w:fldChar w:fldCharType="separate"/>
      </w:r>
      <w:r>
        <w:rPr>
          <w:rFonts w:hint="eastAsia" w:ascii="宋体" w:hAnsi="宋体"/>
          <w:kern w:val="0"/>
          <w:szCs w:val="21"/>
        </w:rPr>
        <w:t>财务部门</w:t>
      </w:r>
      <w:r>
        <w:rPr>
          <w:rFonts w:hint="eastAsia" w:ascii="宋体" w:hAnsi="宋体"/>
          <w:kern w:val="0"/>
          <w:szCs w:val="21"/>
        </w:rPr>
        <w:fldChar w:fldCharType="end"/>
      </w:r>
      <w:r>
        <w:rPr>
          <w:rFonts w:hint="eastAsia" w:ascii="宋体" w:hAnsi="宋体"/>
          <w:kern w:val="0"/>
          <w:szCs w:val="21"/>
        </w:rPr>
        <w:t>汇总</w:t>
      </w:r>
      <w:r>
        <w:fldChar w:fldCharType="begin"/>
      </w:r>
      <w:r>
        <w:instrText xml:space="preserve"> HYPERLINK "https://baike.baidu.com/item/%E5%9B%BA%E5%AE%9A%E8%B5%84%E4%BA%A7/988825" \t "https://baike.baidu.com/item/%E7%AB%A3%E5%B7%A5%E5%86%B3%E7%AE%97/_blank" </w:instrText>
      </w:r>
      <w:r>
        <w:fldChar w:fldCharType="separate"/>
      </w:r>
      <w:r>
        <w:rPr>
          <w:rFonts w:hint="eastAsia" w:ascii="宋体" w:hAnsi="宋体"/>
          <w:kern w:val="0"/>
          <w:szCs w:val="21"/>
        </w:rPr>
        <w:t>固定资产</w:t>
      </w:r>
      <w:r>
        <w:rPr>
          <w:rFonts w:hint="eastAsia" w:ascii="宋体" w:hAnsi="宋体"/>
          <w:kern w:val="0"/>
          <w:szCs w:val="21"/>
        </w:rPr>
        <w:fldChar w:fldCharType="end"/>
      </w:r>
      <w:r>
        <w:rPr>
          <w:rFonts w:hint="eastAsia" w:ascii="宋体" w:hAnsi="宋体"/>
          <w:kern w:val="0"/>
          <w:szCs w:val="21"/>
        </w:rPr>
        <w:t>的主要依据。</w:t>
      </w:r>
    </w:p>
    <w:p>
      <w:pPr>
        <w:pStyle w:val="2"/>
        <w:rPr>
          <w:rFonts w:ascii="宋体" w:hAnsi="宋体" w:eastAsia="宋体"/>
          <w:b w:val="0"/>
          <w:bCs w:val="0"/>
          <w:kern w:val="0"/>
          <w:sz w:val="21"/>
          <w:szCs w:val="21"/>
        </w:rPr>
      </w:pPr>
      <w:r>
        <w:rPr>
          <w:rFonts w:hint="eastAsia" w:ascii="宋体" w:hAnsi="宋体" w:eastAsia="宋体"/>
          <w:kern w:val="0"/>
          <w:sz w:val="21"/>
          <w:szCs w:val="21"/>
        </w:rPr>
        <w:t>3、“建设工程工程量计算规范（2013）浙江省补充规定”对垂直运输工程量清单项目“塔式起重机基础费用”与“施工电梯固定基础费用”其项目编码、项目特征描述的内容、计量单位及工程量计算规则及工作内容是如何规定的？</w:t>
      </w:r>
    </w:p>
    <w:p>
      <w:pPr>
        <w:pStyle w:val="2"/>
        <w:rPr>
          <w:rFonts w:ascii="宋体" w:hAnsi="宋体"/>
          <w:kern w:val="0"/>
          <w:szCs w:val="21"/>
        </w:rPr>
      </w:pPr>
      <w:r>
        <w:rPr>
          <w:rFonts w:hint="eastAsia" w:ascii="宋体" w:hAnsi="宋体" w:eastAsia="宋体"/>
          <w:b w:val="0"/>
          <w:bCs w:val="0"/>
          <w:color w:val="FF0000"/>
          <w:kern w:val="0"/>
          <w:sz w:val="21"/>
          <w:szCs w:val="21"/>
        </w:rPr>
        <w:t>答</w:t>
      </w:r>
      <w:r>
        <w:rPr>
          <w:rFonts w:hint="eastAsia" w:ascii="宋体" w:hAnsi="宋体" w:eastAsia="宋体"/>
          <w:b w:val="0"/>
          <w:bCs w:val="0"/>
          <w:kern w:val="0"/>
          <w:sz w:val="21"/>
          <w:szCs w:val="21"/>
        </w:rPr>
        <w:t>：垂直运输工程量清单项目设置、项目特征描述的内容、计量单位及工程量计算规则及工作内容，应按表S.3的规定执行</w:t>
      </w:r>
    </w:p>
    <w:p>
      <w:pPr>
        <w:widowControl/>
        <w:spacing w:line="360" w:lineRule="atLeast"/>
        <w:ind w:firstLine="420"/>
        <w:jc w:val="center"/>
        <w:rPr>
          <w:rFonts w:ascii="宋体" w:hAnsi="宋体"/>
          <w:kern w:val="0"/>
          <w:sz w:val="18"/>
          <w:szCs w:val="18"/>
        </w:rPr>
      </w:pPr>
      <w:r>
        <w:rPr>
          <w:rFonts w:hint="eastAsia" w:ascii="宋体" w:hAnsi="宋体"/>
          <w:kern w:val="0"/>
          <w:sz w:val="18"/>
          <w:szCs w:val="18"/>
        </w:rPr>
        <w:t>表S.3  垂直运输（编码：011703）</w:t>
      </w:r>
    </w:p>
    <w:tbl>
      <w:tblPr>
        <w:tblStyle w:val="5"/>
        <w:tblW w:w="0" w:type="auto"/>
        <w:jc w:val="center"/>
        <w:tblLayout w:type="fixed"/>
        <w:tblCellMar>
          <w:top w:w="0" w:type="dxa"/>
          <w:left w:w="108" w:type="dxa"/>
          <w:bottom w:w="0" w:type="dxa"/>
          <w:right w:w="108" w:type="dxa"/>
        </w:tblCellMar>
      </w:tblPr>
      <w:tblGrid>
        <w:gridCol w:w="1174"/>
        <w:gridCol w:w="1533"/>
        <w:gridCol w:w="1747"/>
        <w:gridCol w:w="709"/>
        <w:gridCol w:w="1842"/>
        <w:gridCol w:w="2354"/>
      </w:tblGrid>
      <w:tr>
        <w:tblPrEx>
          <w:tblCellMar>
            <w:top w:w="0" w:type="dxa"/>
            <w:left w:w="108" w:type="dxa"/>
            <w:bottom w:w="0" w:type="dxa"/>
            <w:right w:w="108" w:type="dxa"/>
          </w:tblCellMar>
        </w:tblPrEx>
        <w:trPr>
          <w:trHeight w:val="425" w:hRule="atLeast"/>
          <w:jc w:val="center"/>
        </w:trPr>
        <w:tc>
          <w:tcPr>
            <w:tcW w:w="1174" w:type="dxa"/>
            <w:tcBorders>
              <w:top w:val="single" w:color="000000" w:sz="6" w:space="0"/>
              <w:left w:val="single" w:color="000000" w:sz="6" w:space="0"/>
              <w:bottom w:val="single" w:color="000000" w:sz="2" w:space="0"/>
              <w:right w:val="single" w:color="000000" w:sz="2" w:space="0"/>
            </w:tcBorders>
            <w:vAlign w:val="center"/>
          </w:tcPr>
          <w:p>
            <w:pPr>
              <w:widowControl/>
              <w:jc w:val="center"/>
              <w:rPr>
                <w:rFonts w:ascii="宋体" w:hAnsi="宋体"/>
                <w:kern w:val="0"/>
                <w:sz w:val="18"/>
                <w:szCs w:val="18"/>
              </w:rPr>
            </w:pPr>
            <w:r>
              <w:rPr>
                <w:rFonts w:hint="eastAsia" w:ascii="宋体" w:hAnsi="宋体"/>
                <w:kern w:val="0"/>
                <w:sz w:val="18"/>
                <w:szCs w:val="18"/>
              </w:rPr>
              <w:t>项目编码</w:t>
            </w:r>
          </w:p>
        </w:tc>
        <w:tc>
          <w:tcPr>
            <w:tcW w:w="1533" w:type="dxa"/>
            <w:tcBorders>
              <w:top w:val="single" w:color="000000" w:sz="6" w:space="0"/>
              <w:left w:val="nil"/>
              <w:bottom w:val="single" w:color="000000" w:sz="2" w:space="0"/>
              <w:right w:val="single" w:color="000000" w:sz="2" w:space="0"/>
            </w:tcBorders>
            <w:vAlign w:val="center"/>
          </w:tcPr>
          <w:p>
            <w:pPr>
              <w:widowControl/>
              <w:jc w:val="center"/>
              <w:rPr>
                <w:rFonts w:ascii="宋体" w:hAnsi="宋体"/>
                <w:kern w:val="0"/>
                <w:sz w:val="18"/>
                <w:szCs w:val="18"/>
              </w:rPr>
            </w:pPr>
            <w:r>
              <w:rPr>
                <w:rFonts w:hint="eastAsia" w:ascii="宋体" w:hAnsi="宋体"/>
                <w:kern w:val="0"/>
                <w:sz w:val="18"/>
                <w:szCs w:val="18"/>
              </w:rPr>
              <w:t>项目名称</w:t>
            </w:r>
          </w:p>
        </w:tc>
        <w:tc>
          <w:tcPr>
            <w:tcW w:w="1747" w:type="dxa"/>
            <w:tcBorders>
              <w:top w:val="single" w:color="000000" w:sz="6" w:space="0"/>
              <w:left w:val="nil"/>
              <w:bottom w:val="single" w:color="000000" w:sz="2" w:space="0"/>
              <w:right w:val="single" w:color="000000" w:sz="2" w:space="0"/>
            </w:tcBorders>
            <w:vAlign w:val="center"/>
          </w:tcPr>
          <w:p>
            <w:pPr>
              <w:widowControl/>
              <w:jc w:val="center"/>
              <w:rPr>
                <w:rFonts w:ascii="宋体" w:hAnsi="宋体"/>
                <w:kern w:val="0"/>
                <w:sz w:val="18"/>
                <w:szCs w:val="18"/>
              </w:rPr>
            </w:pPr>
            <w:r>
              <w:rPr>
                <w:rFonts w:hint="eastAsia" w:ascii="宋体" w:hAnsi="宋体"/>
                <w:kern w:val="0"/>
                <w:sz w:val="18"/>
                <w:szCs w:val="18"/>
              </w:rPr>
              <w:t>项目特征</w:t>
            </w:r>
          </w:p>
        </w:tc>
        <w:tc>
          <w:tcPr>
            <w:tcW w:w="709" w:type="dxa"/>
            <w:tcBorders>
              <w:top w:val="single" w:color="000000" w:sz="6" w:space="0"/>
              <w:left w:val="nil"/>
              <w:bottom w:val="single" w:color="000000" w:sz="2" w:space="0"/>
              <w:right w:val="single" w:color="000000" w:sz="2" w:space="0"/>
            </w:tcBorders>
            <w:vAlign w:val="center"/>
          </w:tcPr>
          <w:p>
            <w:pPr>
              <w:widowControl/>
              <w:jc w:val="center"/>
              <w:rPr>
                <w:rFonts w:ascii="宋体" w:hAnsi="宋体"/>
                <w:kern w:val="0"/>
                <w:sz w:val="18"/>
                <w:szCs w:val="18"/>
              </w:rPr>
            </w:pPr>
            <w:r>
              <w:rPr>
                <w:rFonts w:hint="eastAsia" w:ascii="宋体" w:hAnsi="宋体"/>
                <w:kern w:val="0"/>
                <w:sz w:val="18"/>
                <w:szCs w:val="18"/>
              </w:rPr>
              <w:t>计量单位</w:t>
            </w:r>
          </w:p>
        </w:tc>
        <w:tc>
          <w:tcPr>
            <w:tcW w:w="1842" w:type="dxa"/>
            <w:tcBorders>
              <w:top w:val="single" w:color="000000" w:sz="6" w:space="0"/>
              <w:left w:val="nil"/>
              <w:bottom w:val="single" w:color="000000" w:sz="2" w:space="0"/>
              <w:right w:val="single" w:color="000000" w:sz="2" w:space="0"/>
            </w:tcBorders>
            <w:vAlign w:val="center"/>
          </w:tcPr>
          <w:p>
            <w:pPr>
              <w:widowControl/>
              <w:jc w:val="center"/>
              <w:rPr>
                <w:rFonts w:ascii="宋体" w:hAnsi="宋体"/>
                <w:kern w:val="0"/>
                <w:sz w:val="18"/>
                <w:szCs w:val="18"/>
              </w:rPr>
            </w:pPr>
            <w:r>
              <w:rPr>
                <w:rFonts w:hint="eastAsia" w:ascii="宋体" w:hAnsi="宋体"/>
                <w:kern w:val="0"/>
                <w:sz w:val="18"/>
                <w:szCs w:val="18"/>
              </w:rPr>
              <w:t>工程量计算规则</w:t>
            </w:r>
          </w:p>
        </w:tc>
        <w:tc>
          <w:tcPr>
            <w:tcW w:w="2354" w:type="dxa"/>
            <w:tcBorders>
              <w:top w:val="single" w:color="000000" w:sz="6" w:space="0"/>
              <w:left w:val="nil"/>
              <w:bottom w:val="single" w:color="000000" w:sz="2" w:space="0"/>
              <w:right w:val="single" w:color="000000" w:sz="6" w:space="0"/>
            </w:tcBorders>
            <w:vAlign w:val="center"/>
          </w:tcPr>
          <w:p>
            <w:pPr>
              <w:widowControl/>
              <w:jc w:val="center"/>
              <w:rPr>
                <w:rFonts w:ascii="宋体" w:hAnsi="宋体"/>
                <w:kern w:val="0"/>
                <w:sz w:val="18"/>
                <w:szCs w:val="18"/>
              </w:rPr>
            </w:pPr>
            <w:r>
              <w:rPr>
                <w:rFonts w:hint="eastAsia" w:ascii="宋体" w:hAnsi="宋体"/>
                <w:kern w:val="0"/>
                <w:sz w:val="18"/>
                <w:szCs w:val="18"/>
              </w:rPr>
              <w:t>工作内容</w:t>
            </w:r>
          </w:p>
        </w:tc>
      </w:tr>
      <w:tr>
        <w:tblPrEx>
          <w:tblCellMar>
            <w:top w:w="0" w:type="dxa"/>
            <w:left w:w="108" w:type="dxa"/>
            <w:bottom w:w="0" w:type="dxa"/>
            <w:right w:w="108" w:type="dxa"/>
          </w:tblCellMar>
        </w:tblPrEx>
        <w:trPr>
          <w:trHeight w:val="1991" w:hRule="atLeast"/>
          <w:jc w:val="center"/>
        </w:trPr>
        <w:tc>
          <w:tcPr>
            <w:tcW w:w="1174" w:type="dxa"/>
            <w:tcBorders>
              <w:top w:val="single" w:color="000000" w:sz="2" w:space="0"/>
              <w:left w:val="single" w:color="000000" w:sz="6" w:space="0"/>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Z011703002</w:t>
            </w:r>
          </w:p>
        </w:tc>
        <w:tc>
          <w:tcPr>
            <w:tcW w:w="1533" w:type="dxa"/>
            <w:tcBorders>
              <w:top w:val="single" w:color="000000" w:sz="2" w:space="0"/>
              <w:left w:val="nil"/>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塔式起重机基础费用</w:t>
            </w:r>
          </w:p>
        </w:tc>
        <w:tc>
          <w:tcPr>
            <w:tcW w:w="1747" w:type="dxa"/>
            <w:tcBorders>
              <w:top w:val="single" w:color="000000" w:sz="2" w:space="0"/>
              <w:left w:val="nil"/>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1.起重机规格、型号</w:t>
            </w:r>
          </w:p>
          <w:p>
            <w:pPr>
              <w:widowControl/>
              <w:rPr>
                <w:rFonts w:ascii="宋体" w:hAnsi="宋体"/>
                <w:kern w:val="0"/>
                <w:sz w:val="18"/>
                <w:szCs w:val="18"/>
              </w:rPr>
            </w:pPr>
            <w:r>
              <w:rPr>
                <w:rFonts w:hint="eastAsia" w:ascii="宋体" w:hAnsi="宋体"/>
                <w:kern w:val="0"/>
                <w:sz w:val="18"/>
                <w:szCs w:val="18"/>
              </w:rPr>
              <w:t>2.基础形式</w:t>
            </w:r>
          </w:p>
          <w:p>
            <w:pPr>
              <w:widowControl/>
              <w:rPr>
                <w:rFonts w:ascii="宋体" w:hAnsi="宋体"/>
                <w:kern w:val="0"/>
                <w:sz w:val="18"/>
                <w:szCs w:val="18"/>
              </w:rPr>
            </w:pPr>
            <w:r>
              <w:rPr>
                <w:rFonts w:hint="eastAsia" w:ascii="宋体" w:hAnsi="宋体"/>
                <w:kern w:val="0"/>
                <w:sz w:val="18"/>
                <w:szCs w:val="18"/>
              </w:rPr>
              <w:t>3.桩基础类型</w:t>
            </w:r>
          </w:p>
        </w:tc>
        <w:tc>
          <w:tcPr>
            <w:tcW w:w="709" w:type="dxa"/>
            <w:vMerge w:val="restart"/>
            <w:tcBorders>
              <w:top w:val="nil"/>
              <w:left w:val="nil"/>
              <w:bottom w:val="single" w:color="000000" w:sz="2" w:space="0"/>
              <w:right w:val="single" w:color="000000" w:sz="2" w:space="0"/>
            </w:tcBorders>
            <w:vAlign w:val="center"/>
          </w:tcPr>
          <w:p>
            <w:pPr>
              <w:widowControl/>
              <w:jc w:val="center"/>
              <w:rPr>
                <w:rFonts w:ascii="宋体" w:hAnsi="宋体"/>
                <w:kern w:val="0"/>
                <w:sz w:val="18"/>
                <w:szCs w:val="18"/>
              </w:rPr>
            </w:pPr>
            <w:r>
              <w:rPr>
                <w:rFonts w:hint="eastAsia" w:ascii="宋体" w:hAnsi="宋体"/>
                <w:kern w:val="0"/>
                <w:sz w:val="18"/>
                <w:szCs w:val="18"/>
              </w:rPr>
              <w:t>座</w:t>
            </w:r>
          </w:p>
        </w:tc>
        <w:tc>
          <w:tcPr>
            <w:tcW w:w="1842" w:type="dxa"/>
            <w:vMerge w:val="restart"/>
            <w:tcBorders>
              <w:top w:val="nil"/>
              <w:left w:val="nil"/>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按设计图示数量计算</w:t>
            </w:r>
          </w:p>
        </w:tc>
        <w:tc>
          <w:tcPr>
            <w:tcW w:w="2354" w:type="dxa"/>
            <w:tcBorders>
              <w:top w:val="single" w:color="000000" w:sz="2" w:space="0"/>
              <w:left w:val="nil"/>
              <w:bottom w:val="single" w:color="000000" w:sz="2" w:space="0"/>
              <w:right w:val="single" w:color="000000" w:sz="6" w:space="0"/>
            </w:tcBorders>
            <w:vAlign w:val="center"/>
          </w:tcPr>
          <w:p>
            <w:pPr>
              <w:widowControl/>
              <w:spacing w:line="300" w:lineRule="atLeast"/>
              <w:jc w:val="left"/>
              <w:rPr>
                <w:rFonts w:ascii="宋体" w:hAnsi="宋体"/>
                <w:color w:val="000000"/>
                <w:kern w:val="0"/>
                <w:sz w:val="18"/>
                <w:szCs w:val="18"/>
              </w:rPr>
            </w:pPr>
            <w:r>
              <w:rPr>
                <w:rFonts w:hint="eastAsia" w:ascii="宋体" w:hAnsi="宋体"/>
                <w:color w:val="000000"/>
                <w:kern w:val="0"/>
                <w:sz w:val="18"/>
                <w:szCs w:val="18"/>
              </w:rPr>
              <w:t>1.基础打桩</w:t>
            </w:r>
          </w:p>
          <w:p>
            <w:pPr>
              <w:widowControl/>
              <w:spacing w:line="300" w:lineRule="atLeast"/>
              <w:jc w:val="left"/>
              <w:rPr>
                <w:rFonts w:ascii="宋体" w:hAnsi="宋体"/>
                <w:color w:val="000000"/>
                <w:kern w:val="0"/>
                <w:sz w:val="18"/>
                <w:szCs w:val="18"/>
              </w:rPr>
            </w:pPr>
            <w:r>
              <w:rPr>
                <w:rFonts w:hint="eastAsia" w:ascii="宋体" w:hAnsi="宋体"/>
                <w:kern w:val="0"/>
                <w:sz w:val="18"/>
                <w:szCs w:val="18"/>
              </w:rPr>
              <w:t>2</w:t>
            </w:r>
            <w:r>
              <w:rPr>
                <w:rFonts w:hint="eastAsia" w:ascii="宋体" w:hAnsi="宋体"/>
                <w:color w:val="000000"/>
                <w:kern w:val="0"/>
                <w:sz w:val="18"/>
                <w:szCs w:val="18"/>
              </w:rPr>
              <w:t>.基础浇捣</w:t>
            </w:r>
          </w:p>
          <w:p>
            <w:pPr>
              <w:widowControl/>
              <w:spacing w:line="300" w:lineRule="atLeast"/>
              <w:jc w:val="left"/>
              <w:rPr>
                <w:rFonts w:ascii="宋体" w:hAnsi="宋体"/>
                <w:color w:val="000000"/>
                <w:kern w:val="0"/>
                <w:sz w:val="18"/>
                <w:szCs w:val="18"/>
              </w:rPr>
            </w:pPr>
            <w:r>
              <w:rPr>
                <w:rFonts w:hint="eastAsia" w:ascii="宋体" w:hAnsi="宋体"/>
                <w:color w:val="000000"/>
                <w:kern w:val="0"/>
                <w:sz w:val="18"/>
                <w:szCs w:val="18"/>
              </w:rPr>
              <w:t>3.预埋件制作、埋设</w:t>
            </w:r>
          </w:p>
          <w:p>
            <w:pPr>
              <w:widowControl/>
              <w:spacing w:line="300" w:lineRule="atLeast"/>
              <w:jc w:val="left"/>
              <w:rPr>
                <w:rFonts w:ascii="宋体" w:hAnsi="宋体"/>
                <w:color w:val="000000"/>
                <w:kern w:val="0"/>
                <w:sz w:val="18"/>
                <w:szCs w:val="18"/>
              </w:rPr>
            </w:pPr>
            <w:r>
              <w:rPr>
                <w:rFonts w:hint="eastAsia" w:ascii="宋体" w:hAnsi="宋体"/>
                <w:color w:val="000000"/>
                <w:kern w:val="0"/>
                <w:sz w:val="18"/>
                <w:szCs w:val="18"/>
              </w:rPr>
              <w:t>4.轨道铺设</w:t>
            </w:r>
          </w:p>
          <w:p>
            <w:pPr>
              <w:widowControl/>
              <w:spacing w:line="300" w:lineRule="atLeast"/>
              <w:jc w:val="left"/>
              <w:rPr>
                <w:rFonts w:ascii="宋体" w:hAnsi="宋体"/>
                <w:kern w:val="0"/>
                <w:sz w:val="18"/>
                <w:szCs w:val="18"/>
              </w:rPr>
            </w:pPr>
            <w:r>
              <w:rPr>
                <w:rFonts w:hint="eastAsia" w:ascii="宋体" w:hAnsi="宋体"/>
                <w:color w:val="000000"/>
                <w:kern w:val="0"/>
                <w:sz w:val="18"/>
                <w:szCs w:val="18"/>
              </w:rPr>
              <w:t>5.基础拆除、运输</w:t>
            </w:r>
          </w:p>
        </w:tc>
      </w:tr>
      <w:tr>
        <w:tblPrEx>
          <w:tblCellMar>
            <w:top w:w="0" w:type="dxa"/>
            <w:left w:w="108" w:type="dxa"/>
            <w:bottom w:w="0" w:type="dxa"/>
            <w:right w:w="108" w:type="dxa"/>
          </w:tblCellMar>
        </w:tblPrEx>
        <w:trPr>
          <w:trHeight w:val="1268" w:hRule="atLeast"/>
          <w:jc w:val="center"/>
        </w:trPr>
        <w:tc>
          <w:tcPr>
            <w:tcW w:w="1174" w:type="dxa"/>
            <w:tcBorders>
              <w:top w:val="single" w:color="000000" w:sz="2" w:space="0"/>
              <w:left w:val="single" w:color="000000" w:sz="6" w:space="0"/>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Z011703003</w:t>
            </w:r>
          </w:p>
        </w:tc>
        <w:tc>
          <w:tcPr>
            <w:tcW w:w="1533" w:type="dxa"/>
            <w:tcBorders>
              <w:top w:val="single" w:color="000000" w:sz="2" w:space="0"/>
              <w:left w:val="nil"/>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施工电梯固定基础费用</w:t>
            </w:r>
          </w:p>
        </w:tc>
        <w:tc>
          <w:tcPr>
            <w:tcW w:w="1747" w:type="dxa"/>
            <w:tcBorders>
              <w:top w:val="single" w:color="000000" w:sz="2" w:space="0"/>
              <w:left w:val="nil"/>
              <w:bottom w:val="single" w:color="000000" w:sz="2" w:space="0"/>
              <w:right w:val="single" w:color="000000" w:sz="2" w:space="0"/>
            </w:tcBorders>
            <w:vAlign w:val="center"/>
          </w:tcPr>
          <w:p>
            <w:pPr>
              <w:widowControl/>
              <w:rPr>
                <w:rFonts w:ascii="宋体" w:hAnsi="宋体"/>
                <w:kern w:val="0"/>
                <w:sz w:val="18"/>
                <w:szCs w:val="18"/>
              </w:rPr>
            </w:pPr>
            <w:r>
              <w:rPr>
                <w:rFonts w:hint="eastAsia" w:ascii="宋体" w:hAnsi="宋体"/>
                <w:kern w:val="0"/>
                <w:sz w:val="18"/>
                <w:szCs w:val="18"/>
              </w:rPr>
              <w:t>1.施工电梯规格、型号</w:t>
            </w:r>
          </w:p>
          <w:p>
            <w:pPr>
              <w:widowControl/>
              <w:rPr>
                <w:rFonts w:ascii="宋体" w:hAnsi="宋体"/>
                <w:kern w:val="0"/>
                <w:sz w:val="18"/>
                <w:szCs w:val="18"/>
              </w:rPr>
            </w:pPr>
            <w:r>
              <w:rPr>
                <w:rFonts w:hint="eastAsia" w:ascii="宋体" w:hAnsi="宋体"/>
                <w:kern w:val="0"/>
                <w:sz w:val="18"/>
                <w:szCs w:val="18"/>
              </w:rPr>
              <w:t>2.基础类型</w:t>
            </w:r>
          </w:p>
        </w:tc>
        <w:tc>
          <w:tcPr>
            <w:tcW w:w="709" w:type="dxa"/>
            <w:vMerge w:val="continue"/>
            <w:tcBorders>
              <w:top w:val="nil"/>
              <w:left w:val="nil"/>
              <w:bottom w:val="single" w:color="000000" w:sz="2" w:space="0"/>
              <w:right w:val="single" w:color="000000" w:sz="2" w:space="0"/>
            </w:tcBorders>
            <w:vAlign w:val="center"/>
          </w:tcPr>
          <w:p>
            <w:pPr>
              <w:widowControl/>
              <w:jc w:val="left"/>
              <w:rPr>
                <w:rFonts w:ascii="宋体" w:hAnsi="宋体"/>
                <w:kern w:val="0"/>
                <w:sz w:val="18"/>
                <w:szCs w:val="18"/>
              </w:rPr>
            </w:pPr>
          </w:p>
        </w:tc>
        <w:tc>
          <w:tcPr>
            <w:tcW w:w="1842" w:type="dxa"/>
            <w:vMerge w:val="continue"/>
            <w:tcBorders>
              <w:top w:val="nil"/>
              <w:left w:val="nil"/>
              <w:bottom w:val="single" w:color="000000" w:sz="2" w:space="0"/>
              <w:right w:val="single" w:color="000000" w:sz="2" w:space="0"/>
            </w:tcBorders>
            <w:vAlign w:val="center"/>
          </w:tcPr>
          <w:p>
            <w:pPr>
              <w:widowControl/>
              <w:jc w:val="left"/>
              <w:rPr>
                <w:rFonts w:ascii="宋体" w:hAnsi="宋体"/>
                <w:kern w:val="0"/>
                <w:sz w:val="18"/>
                <w:szCs w:val="18"/>
              </w:rPr>
            </w:pPr>
          </w:p>
        </w:tc>
        <w:tc>
          <w:tcPr>
            <w:tcW w:w="2354" w:type="dxa"/>
            <w:tcBorders>
              <w:top w:val="single" w:color="000000" w:sz="2" w:space="0"/>
              <w:left w:val="nil"/>
              <w:bottom w:val="single" w:color="000000" w:sz="2" w:space="0"/>
              <w:right w:val="single" w:color="000000" w:sz="6" w:space="0"/>
            </w:tcBorders>
            <w:vAlign w:val="center"/>
          </w:tcPr>
          <w:p>
            <w:pPr>
              <w:widowControl/>
              <w:rPr>
                <w:rFonts w:ascii="宋体" w:hAnsi="宋体"/>
                <w:color w:val="000000"/>
                <w:kern w:val="0"/>
                <w:sz w:val="18"/>
                <w:szCs w:val="18"/>
              </w:rPr>
            </w:pPr>
            <w:r>
              <w:rPr>
                <w:rFonts w:hint="eastAsia" w:ascii="宋体" w:hAnsi="宋体"/>
                <w:kern w:val="0"/>
                <w:sz w:val="18"/>
                <w:szCs w:val="18"/>
              </w:rPr>
              <w:t>1</w:t>
            </w:r>
            <w:r>
              <w:rPr>
                <w:rFonts w:hint="eastAsia" w:ascii="宋体" w:hAnsi="宋体"/>
                <w:color w:val="000000"/>
                <w:kern w:val="0"/>
                <w:sz w:val="18"/>
                <w:szCs w:val="18"/>
              </w:rPr>
              <w:t>.基础浇捣</w:t>
            </w:r>
          </w:p>
          <w:p>
            <w:pPr>
              <w:widowControl/>
              <w:rPr>
                <w:rFonts w:ascii="宋体" w:hAnsi="宋体"/>
                <w:color w:val="000000"/>
                <w:kern w:val="0"/>
                <w:sz w:val="18"/>
                <w:szCs w:val="18"/>
              </w:rPr>
            </w:pPr>
            <w:r>
              <w:rPr>
                <w:rFonts w:hint="eastAsia" w:ascii="宋体" w:hAnsi="宋体"/>
                <w:color w:val="000000"/>
                <w:kern w:val="0"/>
                <w:sz w:val="18"/>
                <w:szCs w:val="18"/>
              </w:rPr>
              <w:t>2.预埋件制作、埋设</w:t>
            </w:r>
          </w:p>
          <w:p>
            <w:pPr>
              <w:widowControl/>
              <w:rPr>
                <w:rFonts w:ascii="宋体" w:hAnsi="宋体"/>
                <w:kern w:val="0"/>
                <w:sz w:val="18"/>
                <w:szCs w:val="18"/>
              </w:rPr>
            </w:pPr>
            <w:r>
              <w:rPr>
                <w:rFonts w:hint="eastAsia" w:ascii="宋体" w:hAnsi="宋体"/>
                <w:color w:val="000000"/>
                <w:kern w:val="0"/>
                <w:sz w:val="18"/>
                <w:szCs w:val="18"/>
              </w:rPr>
              <w:t>3.基础拆除、运输</w:t>
            </w:r>
          </w:p>
        </w:tc>
      </w:tr>
      <w:tr>
        <w:tblPrEx>
          <w:tblCellMar>
            <w:top w:w="0" w:type="dxa"/>
            <w:left w:w="108" w:type="dxa"/>
            <w:bottom w:w="0" w:type="dxa"/>
            <w:right w:w="108" w:type="dxa"/>
          </w:tblCellMar>
        </w:tblPrEx>
        <w:trPr>
          <w:trHeight w:val="526" w:hRule="atLeast"/>
          <w:jc w:val="center"/>
        </w:trPr>
        <w:tc>
          <w:tcPr>
            <w:tcW w:w="9359" w:type="dxa"/>
            <w:gridSpan w:val="6"/>
            <w:tcBorders>
              <w:top w:val="single" w:color="000000" w:sz="2" w:space="0"/>
              <w:left w:val="single" w:color="000000" w:sz="6" w:space="0"/>
              <w:bottom w:val="single" w:color="000000" w:sz="6" w:space="0"/>
              <w:right w:val="single" w:color="000000" w:sz="6" w:space="0"/>
            </w:tcBorders>
            <w:vAlign w:val="center"/>
          </w:tcPr>
          <w:p>
            <w:pPr>
              <w:widowControl/>
              <w:ind w:firstLine="180"/>
              <w:rPr>
                <w:rFonts w:ascii="宋体" w:hAnsi="宋体"/>
                <w:kern w:val="0"/>
                <w:sz w:val="18"/>
                <w:szCs w:val="18"/>
              </w:rPr>
            </w:pPr>
            <w:r>
              <w:rPr>
                <w:rFonts w:hint="eastAsia" w:ascii="宋体" w:hAnsi="宋体"/>
                <w:kern w:val="0"/>
                <w:sz w:val="18"/>
                <w:szCs w:val="18"/>
              </w:rPr>
              <w:t>注：相应专项设计方案不具备时，可按暂估量计算。</w:t>
            </w:r>
          </w:p>
        </w:tc>
      </w:tr>
    </w:tbl>
    <w:p>
      <w:pPr>
        <w:spacing w:line="360" w:lineRule="auto"/>
        <w:ind w:firstLine="420" w:firstLineChars="200"/>
        <w:rPr>
          <w:rFonts w:ascii="宋体" w:hAnsi="宋体"/>
          <w:kern w:val="0"/>
          <w:szCs w:val="21"/>
        </w:rPr>
      </w:pPr>
    </w:p>
    <w:p>
      <w:pPr>
        <w:spacing w:line="360" w:lineRule="auto"/>
        <w:ind w:firstLine="420" w:firstLineChars="200"/>
        <w:rPr>
          <w:rFonts w:ascii="宋体" w:hAnsi="宋体"/>
          <w:kern w:val="0"/>
          <w:szCs w:val="21"/>
        </w:rPr>
      </w:pPr>
    </w:p>
    <w:p>
      <w:pPr>
        <w:rPr>
          <w:rFonts w:ascii="宋体" w:hAnsi="宋体"/>
          <w:b/>
          <w:bCs/>
          <w:kern w:val="0"/>
          <w:szCs w:val="21"/>
        </w:rPr>
      </w:pPr>
      <w:r>
        <w:rPr>
          <w:rFonts w:hint="eastAsia" w:ascii="宋体" w:hAnsi="宋体"/>
          <w:b/>
          <w:bCs/>
          <w:kern w:val="0"/>
          <w:szCs w:val="21"/>
        </w:rPr>
        <w:t>4、建筑安装工程计价方法有哪两种？并对这两种计价方法进行详细说明。工程量清单综合单价包括哪些费用？</w:t>
      </w:r>
    </w:p>
    <w:p>
      <w:pPr>
        <w:spacing w:line="360" w:lineRule="auto"/>
        <w:rPr>
          <w:rFonts w:ascii="宋体" w:hAnsi="宋体"/>
          <w:kern w:val="0"/>
          <w:szCs w:val="21"/>
        </w:rPr>
      </w:pPr>
      <w:r>
        <w:rPr>
          <w:rFonts w:hint="eastAsia" w:ascii="宋体" w:hAnsi="宋体"/>
          <w:color w:val="FF0000"/>
          <w:kern w:val="0"/>
          <w:szCs w:val="21"/>
        </w:rPr>
        <w:t>答</w:t>
      </w:r>
      <w:r>
        <w:rPr>
          <w:rFonts w:hint="eastAsia" w:ascii="宋体" w:hAnsi="宋体"/>
          <w:kern w:val="0"/>
          <w:szCs w:val="21"/>
        </w:rPr>
        <w:t>：建筑安装工程同意按照综合单价法进行计价，包括国标工程量清单计价(简称“国标清单计价”)和定额项目清单计价（简称“定额清单计价”）两种。国标工程量清单计价(简称“国标清单计价”)：是指按照国家建设行政主管部颁布的建设工程工程量计算规范规定的工程量计算规则，由招标人提供工程量清单和有关技术说明，投标人根据自身实力，按企业定额、资源市场单价以及市场供求及竞争状况进行的计价模式。目前，在招投标阶段进行工程交易时都采用此种计价方式编制招标控制价及投标报价。（目前运用）</w:t>
      </w:r>
    </w:p>
    <w:p>
      <w:pPr>
        <w:spacing w:line="360" w:lineRule="auto"/>
        <w:ind w:firstLine="420" w:firstLineChars="200"/>
        <w:rPr>
          <w:rFonts w:ascii="宋体" w:hAnsi="宋体"/>
          <w:kern w:val="0"/>
          <w:szCs w:val="21"/>
        </w:rPr>
      </w:pPr>
      <w:r>
        <w:rPr>
          <w:rFonts w:hint="eastAsia" w:ascii="宋体" w:hAnsi="宋体"/>
          <w:kern w:val="0"/>
          <w:szCs w:val="21"/>
        </w:rPr>
        <w:t>定额项目清单计价（简称“定额清单计价”）：是采用国家、部门或地区统一规定的定额和取费标准进行工程计价的模式。先根据预算定额中的工程量计算规则计算工程量，再根据定额基准价格计算出对应工程所需的工料机费用、管理费用、利润、规费和税金等，汇总得到工程总造价。</w:t>
      </w:r>
    </w:p>
    <w:p>
      <w:pPr>
        <w:spacing w:line="360" w:lineRule="auto"/>
        <w:ind w:firstLine="422" w:firstLineChars="200"/>
        <w:rPr>
          <w:rFonts w:ascii="宋体" w:hAnsi="宋体"/>
          <w:kern w:val="0"/>
          <w:szCs w:val="21"/>
        </w:rPr>
      </w:pPr>
      <w:r>
        <w:rPr>
          <w:rFonts w:hint="eastAsia" w:ascii="宋体" w:hAnsi="宋体"/>
          <w:b/>
          <w:bCs/>
          <w:kern w:val="0"/>
          <w:szCs w:val="21"/>
        </w:rPr>
        <w:t>综合单价法</w:t>
      </w:r>
      <w:r>
        <w:rPr>
          <w:rFonts w:hint="eastAsia" w:ascii="宋体" w:hAnsi="宋体"/>
          <w:kern w:val="0"/>
          <w:szCs w:val="21"/>
        </w:rPr>
        <w:t>是指分部分项项目及施工技术措施费项目的单价采用除规费、税金外的费用单价的一种计价方法。综合单价包括完成工程量清单中一个规定计量单位项目所需的人工费、材料费、机械使用费、企业管理费和利润，以及风险费用。（现在风险费用不计）</w:t>
      </w:r>
    </w:p>
    <w:p>
      <w:pPr>
        <w:numPr>
          <w:ilvl w:val="0"/>
          <w:numId w:val="8"/>
        </w:numPr>
        <w:spacing w:line="360" w:lineRule="auto"/>
        <w:rPr>
          <w:rFonts w:ascii="宋体" w:hAnsi="宋体"/>
          <w:sz w:val="28"/>
          <w:szCs w:val="28"/>
        </w:rPr>
      </w:pPr>
      <w:r>
        <w:rPr>
          <w:rFonts w:hint="eastAsia" w:ascii="宋体" w:hAnsi="宋体"/>
          <w:sz w:val="28"/>
          <w:szCs w:val="28"/>
        </w:rPr>
        <w:t>定额套用题</w:t>
      </w:r>
    </w:p>
    <w:p>
      <w:pPr>
        <w:spacing w:line="360" w:lineRule="auto"/>
        <w:ind w:firstLine="420" w:firstLineChars="200"/>
        <w:rPr>
          <w:rFonts w:ascii="宋体" w:hAnsi="宋体"/>
          <w:kern w:val="0"/>
          <w:szCs w:val="21"/>
        </w:rPr>
      </w:pPr>
      <w:r>
        <w:rPr>
          <w:rFonts w:hint="eastAsia" w:ascii="宋体" w:hAnsi="宋体"/>
          <w:kern w:val="0"/>
          <w:szCs w:val="21"/>
        </w:rPr>
        <w:t>1、人力开挖房屋综合基础土方，深3m,一、二类湿土，下有桩基，求该项目单价。</w:t>
      </w:r>
    </w:p>
    <w:p>
      <w:pPr>
        <w:spacing w:line="360" w:lineRule="auto"/>
        <w:ind w:firstLine="420" w:firstLineChars="200"/>
        <w:rPr>
          <w:rFonts w:ascii="宋体" w:hAnsi="宋体"/>
          <w:kern w:val="0"/>
          <w:szCs w:val="21"/>
          <w:vertAlign w:val="superscript"/>
        </w:rPr>
      </w:pPr>
      <w:r>
        <w:rPr>
          <w:rFonts w:hint="eastAsia" w:ascii="宋体" w:hAnsi="宋体"/>
          <w:kern w:val="0"/>
          <w:szCs w:val="21"/>
        </w:rPr>
        <w:t xml:space="preserve">    1-1H  21.67*1.06*1.08=24.81元/m</w:t>
      </w:r>
      <w:r>
        <w:rPr>
          <w:rFonts w:hint="eastAsia" w:ascii="宋体" w:hAnsi="宋体"/>
          <w:kern w:val="0"/>
          <w:szCs w:val="21"/>
          <w:vertAlign w:val="superscript"/>
        </w:rPr>
        <w:t>3</w:t>
      </w:r>
    </w:p>
    <w:p>
      <w:pPr>
        <w:numPr>
          <w:ilvl w:val="0"/>
          <w:numId w:val="9"/>
        </w:numPr>
        <w:spacing w:line="360" w:lineRule="auto"/>
        <w:ind w:firstLine="420" w:firstLineChars="200"/>
        <w:rPr>
          <w:rFonts w:ascii="宋体" w:hAnsi="宋体"/>
          <w:kern w:val="0"/>
          <w:szCs w:val="21"/>
        </w:rPr>
      </w:pPr>
      <w:r>
        <w:rPr>
          <w:rFonts w:hint="eastAsia" w:ascii="宋体" w:hAnsi="宋体"/>
          <w:kern w:val="0"/>
          <w:szCs w:val="21"/>
        </w:rPr>
        <w:t>求M10混合砂浆砌筑烧结普通砖圆弧形1砖墙的单价。</w:t>
      </w:r>
    </w:p>
    <w:p>
      <w:pPr>
        <w:spacing w:line="360" w:lineRule="auto"/>
        <w:ind w:left="1470" w:leftChars="200" w:hanging="1050" w:hangingChars="500"/>
        <w:rPr>
          <w:rFonts w:ascii="宋体" w:hAnsi="宋体"/>
          <w:kern w:val="0"/>
          <w:szCs w:val="21"/>
        </w:rPr>
      </w:pPr>
      <w:r>
        <w:rPr>
          <w:rFonts w:hint="eastAsia" w:ascii="宋体" w:hAnsi="宋体"/>
          <w:kern w:val="0"/>
          <w:szCs w:val="21"/>
        </w:rPr>
        <w:t xml:space="preserve">    3-45H  292.7+（184.56-181.75）*0.236+56.33*（1.1-1）</w:t>
      </w:r>
    </w:p>
    <w:p>
      <w:pPr>
        <w:spacing w:line="360" w:lineRule="auto"/>
        <w:ind w:left="1470" w:leftChars="700"/>
        <w:rPr>
          <w:rFonts w:ascii="宋体" w:hAnsi="宋体"/>
          <w:kern w:val="0"/>
          <w:szCs w:val="21"/>
          <w:vertAlign w:val="superscript"/>
        </w:rPr>
      </w:pPr>
      <w:r>
        <w:rPr>
          <w:rFonts w:hint="eastAsia" w:ascii="宋体" w:hAnsi="宋体"/>
          <w:kern w:val="0"/>
          <w:szCs w:val="21"/>
        </w:rPr>
        <w:t>+（0.529*360+0.236*184.56）*(1.03-1)=306.01元/m</w:t>
      </w:r>
      <w:r>
        <w:rPr>
          <w:rFonts w:hint="eastAsia" w:ascii="宋体" w:hAnsi="宋体"/>
          <w:kern w:val="0"/>
          <w:szCs w:val="21"/>
          <w:vertAlign w:val="superscript"/>
        </w:rPr>
        <w:t>3</w:t>
      </w:r>
    </w:p>
    <w:p>
      <w:pPr>
        <w:numPr>
          <w:ilvl w:val="0"/>
          <w:numId w:val="9"/>
        </w:numPr>
        <w:spacing w:line="360" w:lineRule="auto"/>
        <w:ind w:firstLine="420" w:firstLineChars="200"/>
        <w:rPr>
          <w:rFonts w:ascii="宋体" w:hAnsi="宋体"/>
          <w:kern w:val="0"/>
          <w:szCs w:val="21"/>
        </w:rPr>
      </w:pPr>
      <w:r>
        <w:rPr>
          <w:rFonts w:hint="eastAsia" w:ascii="宋体" w:hAnsi="宋体"/>
          <w:kern w:val="0"/>
          <w:szCs w:val="21"/>
        </w:rPr>
        <w:t>求C20商品混凝土非泵送板的单价。</w:t>
      </w:r>
    </w:p>
    <w:p>
      <w:pPr>
        <w:spacing w:line="360" w:lineRule="auto"/>
        <w:ind w:left="420" w:leftChars="200" w:firstLine="210" w:firstLineChars="100"/>
        <w:rPr>
          <w:rFonts w:ascii="宋体" w:hAnsi="宋体"/>
          <w:kern w:val="0"/>
          <w:szCs w:val="21"/>
          <w:vertAlign w:val="superscript"/>
        </w:rPr>
      </w:pPr>
      <w:r>
        <w:rPr>
          <w:rFonts w:hint="eastAsia" w:ascii="宋体" w:hAnsi="宋体"/>
          <w:kern w:val="0"/>
          <w:szCs w:val="21"/>
        </w:rPr>
        <w:t xml:space="preserve"> 4-86H  342.4+20.425*（1.3-1）+（285-299）*1.015=334.32元/m</w:t>
      </w:r>
      <w:r>
        <w:rPr>
          <w:rFonts w:hint="eastAsia" w:ascii="宋体" w:hAnsi="宋体"/>
          <w:kern w:val="0"/>
          <w:szCs w:val="21"/>
          <w:vertAlign w:val="superscript"/>
        </w:rPr>
        <w:t>3</w:t>
      </w:r>
    </w:p>
    <w:p>
      <w:pPr>
        <w:numPr>
          <w:ilvl w:val="0"/>
          <w:numId w:val="9"/>
        </w:numPr>
        <w:spacing w:line="360" w:lineRule="auto"/>
        <w:ind w:firstLine="420" w:firstLineChars="200"/>
        <w:rPr>
          <w:rFonts w:ascii="宋体" w:hAnsi="宋体"/>
          <w:kern w:val="0"/>
          <w:szCs w:val="21"/>
        </w:rPr>
      </w:pPr>
      <w:r>
        <w:rPr>
          <w:rFonts w:hint="eastAsia" w:ascii="宋体" w:hAnsi="宋体"/>
          <w:kern w:val="0"/>
          <w:szCs w:val="21"/>
        </w:rPr>
        <w:t>求1:2干硬性水泥砂浆铺贴600mm*600mm地砖（密缝）的定额基价。</w:t>
      </w:r>
    </w:p>
    <w:p>
      <w:pPr>
        <w:spacing w:line="360" w:lineRule="auto"/>
        <w:ind w:left="420" w:leftChars="200"/>
        <w:rPr>
          <w:rFonts w:ascii="宋体" w:hAnsi="宋体"/>
          <w:kern w:val="0"/>
          <w:szCs w:val="21"/>
          <w:vertAlign w:val="superscript"/>
        </w:rPr>
      </w:pPr>
      <w:r>
        <w:rPr>
          <w:rFonts w:hint="eastAsia" w:ascii="宋体" w:hAnsi="宋体"/>
          <w:kern w:val="0"/>
          <w:szCs w:val="21"/>
        </w:rPr>
        <w:t xml:space="preserve">   10-31H  96.86+（232.07-195.13）*0.0204-0.2847*50*0.15=95.47元/m</w:t>
      </w:r>
      <w:r>
        <w:rPr>
          <w:rFonts w:hint="eastAsia" w:ascii="宋体" w:hAnsi="宋体"/>
          <w:kern w:val="0"/>
          <w:szCs w:val="21"/>
          <w:vertAlign w:val="superscript"/>
        </w:rPr>
        <w:t>2</w:t>
      </w:r>
    </w:p>
    <w:p>
      <w:pPr>
        <w:numPr>
          <w:ilvl w:val="0"/>
          <w:numId w:val="9"/>
        </w:numPr>
        <w:spacing w:line="360" w:lineRule="auto"/>
        <w:ind w:firstLine="420" w:firstLineChars="200"/>
        <w:rPr>
          <w:rFonts w:ascii="宋体" w:hAnsi="宋体"/>
          <w:kern w:val="0"/>
          <w:szCs w:val="21"/>
        </w:rPr>
      </w:pPr>
      <w:r>
        <w:rPr>
          <w:rFonts w:hint="eastAsia" w:ascii="宋体" w:hAnsi="宋体"/>
          <w:kern w:val="0"/>
          <w:szCs w:val="21"/>
        </w:rPr>
        <w:t>某工程有亮镶板门，采用硬木制作，求基价。</w:t>
      </w:r>
    </w:p>
    <w:p>
      <w:pPr>
        <w:spacing w:line="360" w:lineRule="auto"/>
        <w:ind w:left="1470" w:leftChars="300" w:hanging="840" w:hangingChars="400"/>
        <w:rPr>
          <w:rFonts w:ascii="宋体" w:hAnsi="宋体"/>
          <w:kern w:val="0"/>
          <w:szCs w:val="21"/>
          <w:vertAlign w:val="superscript"/>
        </w:rPr>
      </w:pPr>
      <w:r>
        <w:rPr>
          <w:rFonts w:hint="eastAsia" w:ascii="宋体" w:hAnsi="宋体"/>
          <w:kern w:val="0"/>
          <w:szCs w:val="21"/>
        </w:rPr>
        <w:t xml:space="preserve"> 13-1H  117.39+（3600-1450）*（0.01908+0.01632+0.01016+0.00461）+（31.435+1.0625）*0.35=236.63元/m</w:t>
      </w:r>
      <w:r>
        <w:rPr>
          <w:rFonts w:hint="eastAsia" w:ascii="宋体" w:hAnsi="宋体"/>
          <w:kern w:val="0"/>
          <w:szCs w:val="21"/>
          <w:vertAlign w:val="superscript"/>
        </w:rPr>
        <w:t>3</w:t>
      </w:r>
    </w:p>
    <w:p>
      <w:pPr>
        <w:numPr>
          <w:ilvl w:val="0"/>
          <w:numId w:val="9"/>
        </w:numPr>
        <w:spacing w:line="360" w:lineRule="auto"/>
        <w:ind w:firstLine="420" w:firstLineChars="200"/>
        <w:rPr>
          <w:rFonts w:ascii="宋体" w:hAnsi="宋体"/>
          <w:kern w:val="0"/>
          <w:szCs w:val="21"/>
        </w:rPr>
      </w:pPr>
      <w:r>
        <w:rPr>
          <w:rFonts w:hint="eastAsia" w:ascii="宋体" w:hAnsi="宋体"/>
          <w:kern w:val="0"/>
          <w:szCs w:val="21"/>
        </w:rPr>
        <w:t>某住宅檐高25米，层高3米，垂直运输机械采用卷扬机带塔，试求垂直运输单价。</w:t>
      </w:r>
    </w:p>
    <w:p>
      <w:pPr>
        <w:spacing w:line="360" w:lineRule="auto"/>
        <w:ind w:left="420" w:leftChars="200"/>
        <w:rPr>
          <w:rFonts w:ascii="宋体" w:hAnsi="宋体"/>
          <w:kern w:val="0"/>
          <w:szCs w:val="21"/>
          <w:vertAlign w:val="superscript"/>
        </w:rPr>
      </w:pPr>
      <w:r>
        <w:rPr>
          <w:rFonts w:hint="eastAsia" w:ascii="宋体" w:hAnsi="宋体"/>
          <w:kern w:val="0"/>
          <w:szCs w:val="21"/>
        </w:rPr>
        <w:t xml:space="preserve">   17-5H  18.55+（92.36*0.0367*1.5-0.0367*355.48）=11.34元/m</w:t>
      </w:r>
      <w:r>
        <w:rPr>
          <w:rFonts w:hint="eastAsia" w:ascii="宋体" w:hAnsi="宋体"/>
          <w:kern w:val="0"/>
          <w:szCs w:val="21"/>
          <w:vertAlign w:val="superscript"/>
        </w:rPr>
        <w:t>2</w:t>
      </w:r>
    </w:p>
    <w:p>
      <w:pPr>
        <w:numPr>
          <w:ilvl w:val="0"/>
          <w:numId w:val="8"/>
        </w:numPr>
        <w:spacing w:line="360" w:lineRule="auto"/>
        <w:rPr>
          <w:rFonts w:ascii="宋体" w:hAnsi="宋体"/>
          <w:kern w:val="0"/>
          <w:szCs w:val="21"/>
        </w:rPr>
      </w:pPr>
      <w:r>
        <w:rPr>
          <w:rFonts w:hint="eastAsia" w:ascii="宋体" w:hAnsi="宋体"/>
          <w:kern w:val="0"/>
          <w:szCs w:val="21"/>
        </w:rPr>
        <w:t>计算题</w:t>
      </w:r>
    </w:p>
    <w:p>
      <w:pPr>
        <w:spacing w:line="360" w:lineRule="auto"/>
        <w:rPr>
          <w:rFonts w:ascii="宋体" w:hAnsi="宋体"/>
          <w:kern w:val="0"/>
          <w:szCs w:val="21"/>
        </w:rPr>
      </w:pPr>
      <w:r>
        <w:rPr>
          <w:rFonts w:hint="eastAsia" w:ascii="宋体" w:hAnsi="宋体"/>
          <w:kern w:val="0"/>
          <w:szCs w:val="21"/>
        </w:rPr>
        <w:t xml:space="preserve"> 1、某长方形活动室净长45m，净宽18m，层高9.0m，试计算其满堂脚手架工程量，并套用定额。</w:t>
      </w:r>
    </w:p>
    <w:p>
      <w:pPr>
        <w:spacing w:line="360" w:lineRule="auto"/>
        <w:rPr>
          <w:rFonts w:ascii="宋体" w:hAnsi="宋体"/>
          <w:kern w:val="0"/>
          <w:szCs w:val="21"/>
        </w:rPr>
      </w:pPr>
      <w:r>
        <w:rPr>
          <w:rFonts w:hint="eastAsia" w:ascii="宋体" w:hAnsi="宋体"/>
          <w:kern w:val="0"/>
          <w:szCs w:val="21"/>
        </w:rPr>
        <w:t>解：活动室层高已超过5．2m，应计算满堂脚手架增加层：</w:t>
      </w:r>
    </w:p>
    <w:p>
      <w:pPr>
        <w:spacing w:line="360" w:lineRule="auto"/>
        <w:ind w:left="420" w:leftChars="200"/>
        <w:rPr>
          <w:rFonts w:ascii="宋体" w:hAnsi="宋体"/>
          <w:kern w:val="0"/>
          <w:szCs w:val="21"/>
        </w:rPr>
      </w:pPr>
      <w:r>
        <w:rPr>
          <w:rFonts w:hint="eastAsia" w:ascii="宋体" w:hAnsi="宋体"/>
          <w:kern w:val="0"/>
          <w:szCs w:val="21"/>
        </w:rPr>
        <w:t>增加层数=(9.0—5．2)／1．2=3．17，取4层</w:t>
      </w:r>
    </w:p>
    <w:p>
      <w:pPr>
        <w:spacing w:line="360" w:lineRule="auto"/>
        <w:ind w:left="420" w:leftChars="200"/>
        <w:rPr>
          <w:rFonts w:ascii="宋体" w:hAnsi="宋体"/>
          <w:kern w:val="0"/>
          <w:szCs w:val="21"/>
        </w:rPr>
      </w:pPr>
      <w:r>
        <w:rPr>
          <w:rFonts w:hint="eastAsia" w:ascii="宋体" w:hAnsi="宋体"/>
          <w:kern w:val="0"/>
          <w:szCs w:val="21"/>
        </w:rPr>
        <w:t xml:space="preserve">    满堂脚手架工程量为：S = 45×18=810m2</w:t>
      </w:r>
    </w:p>
    <w:p>
      <w:pPr>
        <w:spacing w:line="360" w:lineRule="auto"/>
        <w:ind w:left="420" w:leftChars="200"/>
        <w:rPr>
          <w:rFonts w:ascii="宋体" w:hAnsi="宋体"/>
          <w:kern w:val="0"/>
          <w:szCs w:val="21"/>
        </w:rPr>
      </w:pPr>
      <w:r>
        <w:rPr>
          <w:rFonts w:hint="eastAsia" w:ascii="宋体" w:hAnsi="宋体"/>
          <w:kern w:val="0"/>
          <w:szCs w:val="21"/>
        </w:rPr>
        <w:t>（1）基本层   16-40   6.03元/ m2</w:t>
      </w:r>
    </w:p>
    <w:p>
      <w:pPr>
        <w:spacing w:line="360" w:lineRule="auto"/>
        <w:ind w:left="420" w:leftChars="200"/>
        <w:rPr>
          <w:rFonts w:ascii="宋体" w:hAnsi="宋体"/>
          <w:kern w:val="0"/>
          <w:szCs w:val="21"/>
        </w:rPr>
      </w:pPr>
      <w:r>
        <w:rPr>
          <w:rFonts w:hint="eastAsia" w:ascii="宋体" w:hAnsi="宋体"/>
          <w:kern w:val="0"/>
          <w:szCs w:val="21"/>
        </w:rPr>
        <w:t>（2）增加层   16-41   1.24*4=4.96元/ m2</w:t>
      </w:r>
    </w:p>
    <w:p>
      <w:pPr>
        <w:spacing w:line="360" w:lineRule="auto"/>
        <w:ind w:left="420" w:leftChars="200"/>
        <w:rPr>
          <w:rFonts w:ascii="宋体" w:hAnsi="宋体"/>
          <w:kern w:val="0"/>
          <w:szCs w:val="21"/>
        </w:rPr>
      </w:pPr>
    </w:p>
    <w:p>
      <w:pPr>
        <w:spacing w:line="360" w:lineRule="auto"/>
        <w:rPr>
          <w:rFonts w:ascii="宋体" w:hAnsi="宋体"/>
          <w:kern w:val="0"/>
          <w:szCs w:val="21"/>
        </w:rPr>
      </w:pPr>
      <w:r>
        <w:rPr>
          <w:rFonts w:hint="eastAsia" w:ascii="宋体" w:hAnsi="宋体"/>
          <w:kern w:val="0"/>
          <w:szCs w:val="21"/>
        </w:rPr>
        <w:t>2、某教学楼工程，桩基础为打C40钢筋砼预制方桩200根，桩的设计断面为500×500毫米，桩全长30米，分二节制作，每节长15米，用电焊接桩。设计要求将桩送入自然地面以下1.5米。打桩机械采用7吨柴油打桩机。试求制桩、打桩、送桩工程量并套用定额，并计取大型机械安拆费、场外运输费。</w:t>
      </w:r>
    </w:p>
    <w:p>
      <w:pPr>
        <w:spacing w:line="360" w:lineRule="auto"/>
        <w:rPr>
          <w:rFonts w:ascii="宋体" w:hAnsi="宋体"/>
          <w:kern w:val="0"/>
          <w:szCs w:val="21"/>
        </w:rPr>
      </w:pPr>
      <w:r>
        <w:rPr>
          <w:rFonts w:hint="eastAsia" w:ascii="宋体" w:hAnsi="宋体"/>
          <w:kern w:val="0"/>
          <w:szCs w:val="21"/>
        </w:rPr>
        <w:t>解：a、桩制作工程量：</w:t>
      </w:r>
    </w:p>
    <w:p>
      <w:pPr>
        <w:spacing w:line="360" w:lineRule="auto"/>
        <w:ind w:left="420" w:leftChars="200"/>
        <w:rPr>
          <w:rFonts w:ascii="宋体" w:hAnsi="宋体"/>
          <w:kern w:val="0"/>
          <w:szCs w:val="21"/>
        </w:rPr>
      </w:pPr>
      <w:r>
        <w:rPr>
          <w:rFonts w:hint="eastAsia" w:ascii="宋体" w:hAnsi="宋体"/>
          <w:kern w:val="0"/>
          <w:szCs w:val="21"/>
        </w:rPr>
        <w:t xml:space="preserve">V制作 = 0.5×0.5×30×200×（1+0.015）=1522.5  (ｍ3)，  </w:t>
      </w:r>
    </w:p>
    <w:p>
      <w:pPr>
        <w:spacing w:line="360" w:lineRule="auto"/>
        <w:ind w:left="420" w:leftChars="200"/>
        <w:rPr>
          <w:rFonts w:ascii="宋体" w:hAnsi="宋体"/>
          <w:kern w:val="0"/>
          <w:szCs w:val="21"/>
        </w:rPr>
      </w:pPr>
      <w:r>
        <w:rPr>
          <w:rFonts w:hint="eastAsia" w:ascii="宋体" w:hAnsi="宋体"/>
          <w:kern w:val="0"/>
          <w:szCs w:val="21"/>
        </w:rPr>
        <w:t xml:space="preserve">      定额： 4-263    395.4元/M3 </w:t>
      </w:r>
    </w:p>
    <w:p>
      <w:pPr>
        <w:spacing w:line="360" w:lineRule="auto"/>
        <w:ind w:left="420" w:leftChars="200"/>
        <w:rPr>
          <w:rFonts w:ascii="宋体" w:hAnsi="宋体"/>
          <w:kern w:val="0"/>
          <w:szCs w:val="21"/>
        </w:rPr>
      </w:pPr>
      <w:r>
        <w:rPr>
          <w:rFonts w:hint="eastAsia" w:ascii="宋体" w:hAnsi="宋体"/>
          <w:kern w:val="0"/>
          <w:szCs w:val="21"/>
        </w:rPr>
        <w:t xml:space="preserve">b、打桩工程量 ：      </w:t>
      </w:r>
    </w:p>
    <w:p>
      <w:pPr>
        <w:spacing w:line="360" w:lineRule="auto"/>
        <w:ind w:left="420" w:leftChars="200"/>
        <w:rPr>
          <w:rFonts w:ascii="宋体" w:hAnsi="宋体"/>
          <w:kern w:val="0"/>
          <w:szCs w:val="21"/>
        </w:rPr>
      </w:pPr>
      <w:r>
        <w:rPr>
          <w:rFonts w:hint="eastAsia" w:ascii="宋体" w:hAnsi="宋体"/>
          <w:kern w:val="0"/>
          <w:szCs w:val="21"/>
        </w:rPr>
        <w:t xml:space="preserve">V打桩 =0.5×0.5×30×200=1500(ｍ3)    </w:t>
      </w:r>
    </w:p>
    <w:p>
      <w:pPr>
        <w:spacing w:line="360" w:lineRule="auto"/>
        <w:ind w:left="420" w:leftChars="200"/>
        <w:rPr>
          <w:rFonts w:ascii="宋体" w:hAnsi="宋体"/>
          <w:kern w:val="0"/>
          <w:szCs w:val="21"/>
        </w:rPr>
      </w:pPr>
      <w:r>
        <w:rPr>
          <w:rFonts w:hint="eastAsia" w:ascii="宋体" w:hAnsi="宋体"/>
          <w:kern w:val="0"/>
          <w:szCs w:val="21"/>
        </w:rPr>
        <w:t xml:space="preserve">定额： 2-3  106.5元/M3 </w:t>
      </w:r>
    </w:p>
    <w:p>
      <w:pPr>
        <w:spacing w:line="360" w:lineRule="auto"/>
        <w:ind w:left="420" w:leftChars="200"/>
        <w:rPr>
          <w:rFonts w:ascii="宋体" w:hAnsi="宋体"/>
          <w:kern w:val="0"/>
          <w:szCs w:val="21"/>
        </w:rPr>
      </w:pPr>
      <w:r>
        <w:rPr>
          <w:rFonts w:hint="eastAsia" w:ascii="宋体" w:hAnsi="宋体"/>
          <w:kern w:val="0"/>
          <w:szCs w:val="21"/>
        </w:rPr>
        <w:t>c、送桩工程量:</w:t>
      </w:r>
      <w:bookmarkStart w:id="1" w:name="_GoBack"/>
      <w:bookmarkEnd w:id="1"/>
    </w:p>
    <w:p>
      <w:pPr>
        <w:spacing w:line="360" w:lineRule="auto"/>
        <w:ind w:left="420" w:leftChars="200"/>
        <w:rPr>
          <w:rFonts w:ascii="宋体" w:hAnsi="宋体"/>
          <w:kern w:val="0"/>
          <w:szCs w:val="21"/>
        </w:rPr>
      </w:pPr>
      <w:r>
        <w:rPr>
          <w:rFonts w:hint="eastAsia" w:ascii="宋体" w:hAnsi="宋体"/>
          <w:kern w:val="0"/>
          <w:szCs w:val="21"/>
        </w:rPr>
        <w:t xml:space="preserve">V 送桩 = 0.5×0.5×（1.5+0.5）×200=100 (ｍ3) </w:t>
      </w:r>
    </w:p>
    <w:p>
      <w:pPr>
        <w:spacing w:line="360" w:lineRule="auto"/>
        <w:ind w:left="420" w:leftChars="200"/>
        <w:rPr>
          <w:rFonts w:ascii="宋体" w:hAnsi="宋体"/>
          <w:kern w:val="0"/>
          <w:szCs w:val="21"/>
        </w:rPr>
      </w:pPr>
      <w:r>
        <w:rPr>
          <w:rFonts w:hint="eastAsia" w:ascii="宋体" w:hAnsi="宋体"/>
          <w:kern w:val="0"/>
          <w:szCs w:val="21"/>
        </w:rPr>
        <w:t xml:space="preserve"> 定额：2-7  90.2元/M3 </w:t>
      </w:r>
    </w:p>
    <w:p>
      <w:pPr>
        <w:spacing w:line="360" w:lineRule="auto"/>
        <w:ind w:left="420" w:leftChars="200"/>
        <w:rPr>
          <w:rFonts w:ascii="宋体" w:hAnsi="宋体"/>
          <w:kern w:val="0"/>
          <w:szCs w:val="21"/>
        </w:rPr>
      </w:pPr>
      <w:r>
        <w:rPr>
          <w:rFonts w:hint="eastAsia" w:ascii="宋体" w:hAnsi="宋体"/>
          <w:kern w:val="0"/>
          <w:szCs w:val="21"/>
        </w:rPr>
        <w:t xml:space="preserve">d、大型机械安拆费：查查阅定额附录（二），该项费用为5522.95元。 </w:t>
      </w:r>
    </w:p>
    <w:p>
      <w:pPr>
        <w:spacing w:line="360" w:lineRule="auto"/>
        <w:ind w:left="420" w:leftChars="200"/>
        <w:rPr>
          <w:rFonts w:ascii="宋体" w:hAnsi="宋体"/>
          <w:kern w:val="0"/>
          <w:szCs w:val="21"/>
        </w:rPr>
      </w:pPr>
      <w:r>
        <w:rPr>
          <w:rFonts w:hint="eastAsia" w:ascii="宋体" w:hAnsi="宋体"/>
          <w:kern w:val="0"/>
          <w:szCs w:val="21"/>
        </w:rPr>
        <w:t xml:space="preserve">场外运输费：查阅定额附录（二）7吨锤重柴打桩机的场外输费用为 9857.71元。 </w:t>
      </w:r>
    </w:p>
    <w:p>
      <w:pPr>
        <w:tabs>
          <w:tab w:val="left" w:pos="3360"/>
        </w:tabs>
        <w:spacing w:line="360" w:lineRule="auto"/>
        <w:rPr>
          <w:rFonts w:ascii="宋体" w:hAnsi="宋体" w:cs="宋体"/>
          <w:kern w:val="0"/>
          <w:sz w:val="24"/>
          <w:szCs w:val="24"/>
        </w:rPr>
      </w:pPr>
    </w:p>
    <w:p>
      <w:pPr>
        <w:tabs>
          <w:tab w:val="left" w:pos="3360"/>
        </w:tabs>
        <w:spacing w:line="360" w:lineRule="auto"/>
        <w:rPr>
          <w:rFonts w:ascii="宋体" w:hAnsi="宋体" w:cs="宋体"/>
          <w:kern w:val="0"/>
          <w:sz w:val="24"/>
          <w:szCs w:val="24"/>
        </w:rPr>
      </w:pPr>
    </w:p>
    <w:p>
      <w:pPr>
        <w:spacing w:line="360" w:lineRule="auto"/>
        <w:ind w:left="140"/>
        <w:rPr>
          <w:rFonts w:ascii="宋体" w:hAnsi="宋体"/>
          <w:kern w:val="0"/>
          <w:szCs w:val="21"/>
        </w:rPr>
      </w:pPr>
    </w:p>
    <w:p>
      <w:pPr>
        <w:spacing w:line="360" w:lineRule="auto"/>
        <w:rPr>
          <w:rFonts w:ascii="宋体" w:hAnsi="宋体"/>
          <w:kern w:val="0"/>
          <w:szCs w:val="21"/>
          <w:vertAlign w:val="superscript"/>
        </w:rPr>
      </w:pPr>
      <w:r>
        <w:rPr>
          <w:rFonts w:hint="eastAsia" w:ascii="宋体" w:hAnsi="宋体"/>
          <w:kern w:val="0"/>
          <w:szCs w:val="21"/>
          <w:vertAlign w:val="superscript"/>
        </w:rPr>
        <w:t xml:space="preserve">       </w:t>
      </w:r>
    </w:p>
    <w:p>
      <w:pPr>
        <w:spacing w:line="360" w:lineRule="auto"/>
        <w:ind w:left="420" w:leftChars="200"/>
        <w:rPr>
          <w:rFonts w:ascii="宋体" w:hAnsi="宋体"/>
          <w:kern w:val="0"/>
          <w:szCs w:val="21"/>
        </w:rPr>
      </w:pPr>
    </w:p>
    <w:p>
      <w:pPr>
        <w:spacing w:line="360" w:lineRule="auto"/>
        <w:ind w:left="1470" w:leftChars="200" w:hanging="1050" w:hangingChars="500"/>
        <w:rPr>
          <w:rFonts w:ascii="宋体" w:hAnsi="宋体"/>
          <w:kern w:val="0"/>
          <w:szCs w:val="21"/>
        </w:rPr>
      </w:pPr>
    </w:p>
    <w:p>
      <w:pPr>
        <w:spacing w:line="360" w:lineRule="auto"/>
        <w:rPr>
          <w:rFonts w:ascii="宋体" w:hAnsi="宋体"/>
          <w:kern w:val="0"/>
          <w:szCs w:val="21"/>
        </w:rPr>
      </w:pPr>
    </w:p>
    <w:p>
      <w:pPr>
        <w:spacing w:line="360" w:lineRule="auto"/>
        <w:ind w:firstLine="420" w:firstLineChars="200"/>
        <w:rPr>
          <w:rFonts w:ascii="宋体" w:hAnsi="宋体"/>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00007A87" w:usb1="80000000" w:usb2="00000008" w:usb3="00000000" w:csb0="400001FF" w:csb1="FFFF0000"/>
  </w:font>
  <w:font w:name="隶书">
    <w:panose1 w:val="0201050906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00007A87" w:usb1="80000000" w:usb2="00000008" w:usb3="00000000" w:csb0="400001FF" w:csb1="FFFF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359039"/>
    <w:multiLevelType w:val="singleLevel"/>
    <w:tmpl w:val="86359039"/>
    <w:lvl w:ilvl="0" w:tentative="0">
      <w:start w:val="1"/>
      <w:numFmt w:val="decimal"/>
      <w:suff w:val="nothing"/>
      <w:lvlText w:val="%1）"/>
      <w:lvlJc w:val="left"/>
    </w:lvl>
  </w:abstractNum>
  <w:abstractNum w:abstractNumId="1">
    <w:nsid w:val="B650429B"/>
    <w:multiLevelType w:val="singleLevel"/>
    <w:tmpl w:val="B650429B"/>
    <w:lvl w:ilvl="0" w:tentative="0">
      <w:start w:val="1"/>
      <w:numFmt w:val="decimal"/>
      <w:suff w:val="nothing"/>
      <w:lvlText w:val="%1）"/>
      <w:lvlJc w:val="left"/>
    </w:lvl>
  </w:abstractNum>
  <w:abstractNum w:abstractNumId="2">
    <w:nsid w:val="C11CCB7F"/>
    <w:multiLevelType w:val="singleLevel"/>
    <w:tmpl w:val="C11CCB7F"/>
    <w:lvl w:ilvl="0" w:tentative="0">
      <w:start w:val="2"/>
      <w:numFmt w:val="upperLetter"/>
      <w:suff w:val="space"/>
      <w:lvlText w:val="%1."/>
      <w:lvlJc w:val="left"/>
    </w:lvl>
  </w:abstractNum>
  <w:abstractNum w:abstractNumId="3">
    <w:nsid w:val="DFF8ED84"/>
    <w:multiLevelType w:val="singleLevel"/>
    <w:tmpl w:val="DFF8ED84"/>
    <w:lvl w:ilvl="0" w:tentative="0">
      <w:start w:val="1"/>
      <w:numFmt w:val="upperLetter"/>
      <w:suff w:val="space"/>
      <w:lvlText w:val="%1."/>
      <w:lvlJc w:val="left"/>
    </w:lvl>
  </w:abstractNum>
  <w:abstractNum w:abstractNumId="4">
    <w:nsid w:val="F97C48FC"/>
    <w:multiLevelType w:val="singleLevel"/>
    <w:tmpl w:val="F97C48FC"/>
    <w:lvl w:ilvl="0" w:tentative="0">
      <w:start w:val="1"/>
      <w:numFmt w:val="decimal"/>
      <w:suff w:val="nothing"/>
      <w:lvlText w:val="%1）"/>
      <w:lvlJc w:val="left"/>
    </w:lvl>
  </w:abstractNum>
  <w:abstractNum w:abstractNumId="5">
    <w:nsid w:val="11A9D5AE"/>
    <w:multiLevelType w:val="singleLevel"/>
    <w:tmpl w:val="11A9D5AE"/>
    <w:lvl w:ilvl="0" w:tentative="0">
      <w:start w:val="1"/>
      <w:numFmt w:val="decimal"/>
      <w:suff w:val="space"/>
      <w:lvlText w:val="%1)"/>
      <w:lvlJc w:val="left"/>
    </w:lvl>
  </w:abstractNum>
  <w:abstractNum w:abstractNumId="6">
    <w:nsid w:val="4251B9F5"/>
    <w:multiLevelType w:val="singleLevel"/>
    <w:tmpl w:val="4251B9F5"/>
    <w:lvl w:ilvl="0" w:tentative="0">
      <w:start w:val="2"/>
      <w:numFmt w:val="decimal"/>
      <w:suff w:val="nothing"/>
      <w:lvlText w:val="%1、"/>
      <w:lvlJc w:val="left"/>
    </w:lvl>
  </w:abstractNum>
  <w:abstractNum w:abstractNumId="7">
    <w:nsid w:val="52C3EB62"/>
    <w:multiLevelType w:val="singleLevel"/>
    <w:tmpl w:val="52C3EB62"/>
    <w:lvl w:ilvl="0" w:tentative="0">
      <w:start w:val="2"/>
      <w:numFmt w:val="chineseCounting"/>
      <w:suff w:val="nothing"/>
      <w:lvlText w:val="%1、"/>
      <w:lvlJc w:val="left"/>
      <w:pPr>
        <w:ind w:left="140" w:firstLine="0"/>
      </w:pPr>
      <w:rPr>
        <w:rFonts w:hint="eastAsia"/>
      </w:rPr>
    </w:lvl>
  </w:abstractNum>
  <w:abstractNum w:abstractNumId="8">
    <w:nsid w:val="70BC6F9E"/>
    <w:multiLevelType w:val="singleLevel"/>
    <w:tmpl w:val="70BC6F9E"/>
    <w:lvl w:ilvl="0" w:tentative="0">
      <w:start w:val="1"/>
      <w:numFmt w:val="decimal"/>
      <w:suff w:val="space"/>
      <w:lvlText w:val="%1)"/>
      <w:lvlJc w:val="left"/>
    </w:lvl>
  </w:abstractNum>
  <w:num w:numId="1">
    <w:abstractNumId w:val="0"/>
  </w:num>
  <w:num w:numId="2">
    <w:abstractNumId w:val="3"/>
  </w:num>
  <w:num w:numId="3">
    <w:abstractNumId w:val="4"/>
  </w:num>
  <w:num w:numId="4">
    <w:abstractNumId w:val="2"/>
  </w:num>
  <w:num w:numId="5">
    <w:abstractNumId w:val="8"/>
  </w:num>
  <w:num w:numId="6">
    <w:abstractNumId w:val="5"/>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622"/>
    <w:rsid w:val="0039058F"/>
    <w:rsid w:val="003C2041"/>
    <w:rsid w:val="00586749"/>
    <w:rsid w:val="00756208"/>
    <w:rsid w:val="00784A21"/>
    <w:rsid w:val="0083288B"/>
    <w:rsid w:val="00840A12"/>
    <w:rsid w:val="008A15B9"/>
    <w:rsid w:val="00A91A8E"/>
    <w:rsid w:val="00B00583"/>
    <w:rsid w:val="00B82395"/>
    <w:rsid w:val="00CB3442"/>
    <w:rsid w:val="00D24A55"/>
    <w:rsid w:val="00D46BD8"/>
    <w:rsid w:val="00DE045D"/>
    <w:rsid w:val="00FC1622"/>
    <w:rsid w:val="0FF72BFD"/>
    <w:rsid w:val="12125C83"/>
    <w:rsid w:val="18283FD1"/>
    <w:rsid w:val="1B4105C0"/>
    <w:rsid w:val="26A769BD"/>
    <w:rsid w:val="2ED21C5E"/>
    <w:rsid w:val="33423FC6"/>
    <w:rsid w:val="3A0414B4"/>
    <w:rsid w:val="49371E18"/>
    <w:rsid w:val="544A5BC9"/>
    <w:rsid w:val="57F36183"/>
    <w:rsid w:val="5B802BAA"/>
    <w:rsid w:val="648B5EEB"/>
    <w:rsid w:val="6B800DB7"/>
    <w:rsid w:val="7FA56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789</Words>
  <Characters>4499</Characters>
  <Lines>37</Lines>
  <Paragraphs>10</Paragraphs>
  <TotalTime>5</TotalTime>
  <ScaleCrop>false</ScaleCrop>
  <LinksUpToDate>false</LinksUpToDate>
  <CharactersWithSpaces>5278</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2020-04-06T02:01:00Z</dcterms:created>
  <dc:creator>周 静南</dc:creator>
  <cp:lastModifiedBy>user</cp:lastModifiedBy>
  <dcterms:modified xsi:type="dcterms:W3CDTF">2022-05-14T08:10:30Z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45A22A258C6C46FE95DA7342CEF7DD77</vt:lpwstr>
  </property>
</Properties>
</file>