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16A6A">
      <w:pPr>
        <w:spacing w:line="360" w:lineRule="auto"/>
        <w:jc w:val="center"/>
        <w:outlineLvl w:val="0"/>
        <w:rPr>
          <w:rFonts w:ascii="黑体" w:hAnsi="Times New Roman" w:eastAsia="黑体" w:cs="Times New Roman"/>
          <w:b/>
          <w:sz w:val="44"/>
          <w:szCs w:val="44"/>
        </w:rPr>
      </w:pPr>
      <w:r>
        <w:rPr>
          <w:rFonts w:hint="eastAsia" w:ascii="黑体" w:hAnsi="Times New Roman" w:eastAsia="黑体" w:cs="Times New Roman"/>
          <w:b/>
          <w:sz w:val="44"/>
          <w:szCs w:val="44"/>
        </w:rPr>
        <w:t>浙江工商大学高等学历继续教育</w:t>
      </w:r>
    </w:p>
    <w:p w14:paraId="12B282F7">
      <w:pPr>
        <w:spacing w:line="360" w:lineRule="auto"/>
        <w:jc w:val="center"/>
        <w:outlineLvl w:val="0"/>
        <w:rPr>
          <w:rFonts w:ascii="黑体" w:hAnsi="Times New Roman" w:eastAsia="黑体" w:cs="Times New Roman"/>
          <w:b/>
          <w:sz w:val="44"/>
          <w:szCs w:val="44"/>
        </w:rPr>
      </w:pPr>
      <w:r>
        <w:rPr>
          <w:rFonts w:hint="eastAsia" w:ascii="黑体" w:hAnsi="Times New Roman" w:eastAsia="黑体" w:cs="Times New Roman"/>
          <w:b/>
          <w:sz w:val="44"/>
          <w:szCs w:val="44"/>
        </w:rPr>
        <w:t>《律师实务》课后作业</w:t>
      </w:r>
    </w:p>
    <w:p w14:paraId="65570B94">
      <w:pPr>
        <w:spacing w:line="360" w:lineRule="auto"/>
        <w:jc w:val="center"/>
        <w:rPr>
          <w:rFonts w:hint="eastAsia" w:ascii="宋体" w:hAnsi="宋体" w:eastAsia="宋体" w:cs="Times New Roman"/>
          <w:b/>
          <w:sz w:val="28"/>
          <w:szCs w:val="28"/>
        </w:rPr>
      </w:pPr>
      <w:r>
        <w:rPr>
          <w:rFonts w:hint="eastAsia" w:ascii="宋体" w:hAnsi="宋体" w:eastAsia="宋体" w:cs="Times New Roman"/>
          <w:b/>
          <w:sz w:val="28"/>
          <w:szCs w:val="28"/>
        </w:rPr>
        <w:t>2025学年秋季学期</w:t>
      </w:r>
    </w:p>
    <w:p w14:paraId="5419E266">
      <w:pPr>
        <w:spacing w:line="360" w:lineRule="auto"/>
        <w:jc w:val="center"/>
        <w:rPr>
          <w:rFonts w:hint="eastAsia" w:ascii="宋体" w:hAnsi="宋体" w:eastAsia="宋体" w:cs="Times New Roman"/>
          <w:b/>
          <w:sz w:val="28"/>
          <w:szCs w:val="28"/>
          <w:lang w:eastAsia="zh-CN"/>
        </w:rPr>
      </w:pPr>
      <w:r>
        <w:rPr>
          <w:rFonts w:hint="eastAsia" w:ascii="宋体" w:hAnsi="宋体" w:eastAsia="宋体" w:cs="Times New Roman"/>
          <w:b/>
          <w:sz w:val="28"/>
          <w:szCs w:val="28"/>
          <w:lang w:eastAsia="zh-CN"/>
        </w:rPr>
        <w:t>（</w:t>
      </w:r>
      <w:r>
        <w:rPr>
          <w:rFonts w:hint="eastAsia" w:ascii="宋体" w:hAnsi="宋体" w:eastAsia="宋体" w:cs="Times New Roman"/>
          <w:b/>
          <w:sz w:val="28"/>
          <w:szCs w:val="28"/>
          <w:lang w:val="en-US" w:eastAsia="zh-CN"/>
        </w:rPr>
        <w:t>可选做其中两题</w:t>
      </w:r>
      <w:r>
        <w:rPr>
          <w:rFonts w:hint="eastAsia" w:ascii="宋体" w:hAnsi="宋体" w:eastAsia="宋体" w:cs="Times New Roman"/>
          <w:b/>
          <w:sz w:val="28"/>
          <w:szCs w:val="28"/>
          <w:lang w:eastAsia="zh-CN"/>
        </w:rPr>
        <w:t>）</w:t>
      </w:r>
    </w:p>
    <w:p w14:paraId="14659492">
      <w:r>
        <w:rPr>
          <w:rFonts w:hint="eastAsia"/>
        </w:rPr>
        <w:t>声明：以下案例材料仅供教学之用，任何人员未经当事人或指导老师允许，不得以任何形式将案卷材料向无关人员泄露。</w:t>
      </w:r>
    </w:p>
    <w:p w14:paraId="552A222C">
      <w:pPr>
        <w:rPr>
          <w:rFonts w:hint="eastAsia"/>
        </w:rPr>
      </w:pPr>
    </w:p>
    <w:p w14:paraId="0BB755DC">
      <w:pPr>
        <w:rPr>
          <w:rFonts w:hint="eastAsia"/>
        </w:rPr>
      </w:pPr>
    </w:p>
    <w:p w14:paraId="18016F4C">
      <w:r>
        <w:rPr>
          <w:rFonts w:hint="eastAsia"/>
        </w:rPr>
        <w:t>案件素材之一</w:t>
      </w:r>
    </w:p>
    <w:p w14:paraId="0A176A50">
      <w:r>
        <w:rPr>
          <w:rFonts w:hint="eastAsia"/>
        </w:rPr>
        <w:t>近日某律师的辩护意见引起巨大反响，现将该辩护意见摘抄如下：</w:t>
      </w:r>
    </w:p>
    <w:p w14:paraId="3F563F47"/>
    <w:p w14:paraId="6AC653D1">
      <w:r>
        <w:rPr>
          <w:rFonts w:hint="eastAsia"/>
        </w:rPr>
        <w:t>尊敬的合议庭：敬启</w:t>
      </w:r>
    </w:p>
    <w:p w14:paraId="558A6EA3">
      <w:r>
        <w:rPr>
          <w:rFonts w:hint="eastAsia"/>
        </w:rPr>
        <w:t xml:space="preserve">    被告人胡某某贩卖毒品罪上诉一案，2020年10月10日浙江省法律援助中心指派本辩护人为其二审法律援助律师，为其依法提供刑事辩护援助。</w:t>
      </w:r>
    </w:p>
    <w:p w14:paraId="3AC34AD7">
      <w:r>
        <w:rPr>
          <w:rFonts w:hint="eastAsia"/>
        </w:rPr>
        <w:t>辩护人接受指派后，及时办理相关手续，认真阅读一审案卷，认真研究毒品犯罪刑事法律司法解释文件，并于2020年10月16日，依法会见上诉被告人胡某某。现就本案胡某某量刑部分，发表以下辩护意见，谨供参考。</w:t>
      </w:r>
    </w:p>
    <w:p w14:paraId="711AFBF6">
      <w:r>
        <w:rPr>
          <w:rFonts w:hint="eastAsia"/>
        </w:rPr>
        <w:t>一、“小大之狱，必在情”</w:t>
      </w:r>
    </w:p>
    <w:p w14:paraId="3340EEC0">
      <w:r>
        <w:rPr>
          <w:rFonts w:hint="eastAsia"/>
        </w:rPr>
        <w:t xml:space="preserve">    据胡某某自述：两年前其母亲去世，其父亲常年疾病，自己没有妻儿且有糖尿病，自己有少用、少吸毒品。俗话说“可怜之人，必有可恨之处”，辩护人认为：小大之狱，应查民情民心，但自古律法只对心地善良之人宽饶其情。</w:t>
      </w:r>
    </w:p>
    <w:p w14:paraId="5D140242">
      <w:r>
        <w:rPr>
          <w:rFonts w:hint="eastAsia"/>
        </w:rPr>
        <w:t>二、“法立于上，教弘于下”</w:t>
      </w:r>
    </w:p>
    <w:p w14:paraId="63A774E4">
      <w:r>
        <w:rPr>
          <w:rFonts w:hint="eastAsia"/>
        </w:rPr>
        <w:t>刑法规五百之罪，厉放火、杀人、贩毒等重恶之刑。实为维天下公益；实为立刑以教民从善远罪矣。法立于上，教弘于下。凡不畏苍生，不畏法律之民；凡不悔其罪，不善其心之人，只能以刑罚诛其恶行恶念。</w:t>
      </w:r>
    </w:p>
    <w:p w14:paraId="2A3C43A5">
      <w:r>
        <w:rPr>
          <w:rFonts w:hint="eastAsia"/>
        </w:rPr>
        <w:t>三、“时之所宜，民之所安”</w:t>
      </w:r>
    </w:p>
    <w:p w14:paraId="64FBCB3C">
      <w:r>
        <w:rPr>
          <w:rFonts w:hint="eastAsia"/>
        </w:rPr>
        <w:t>一百八十年前林则徐“虎门锁烟”之伟举，憾因清廷腐朽，速归于败。侵略者用鸦片腐我国民之体，用枪炮碎我壮丽山河。近代吾国吾民，百年之苦难，历忆尤痛，山河悲泪。</w:t>
      </w:r>
    </w:p>
    <w:p w14:paraId="2AB0A2C7">
      <w:r>
        <w:rPr>
          <w:rFonts w:hint="eastAsia"/>
        </w:rPr>
        <w:t>华夏子孙，流血牺牲，几代奋进，终于站起来、富起来、强起来。自十八大以来，“抓贪腐、除黑恶、惩犯罪、图发展、兴民生”。时之所宜，民之所安矣。然有宵小之辈，为已之利，冷漠公义；甚有邪恶之徒，杀人贩毒，泯灭人性，实为国之忧、民之害也，安可恕乎？</w:t>
      </w:r>
    </w:p>
    <w:p w14:paraId="556167EF">
      <w:r>
        <w:rPr>
          <w:rFonts w:hint="eastAsia"/>
        </w:rPr>
        <w:t>综上，辩护人认为一审判决认定事实清楚，证据确实充分，法律适用正确，定罪量刑正确。</w:t>
      </w:r>
    </w:p>
    <w:p w14:paraId="14DD2C25">
      <w:r>
        <w:tab/>
      </w:r>
    </w:p>
    <w:p w14:paraId="03F345A3">
      <w:r>
        <w:rPr>
          <w:rFonts w:hint="eastAsia"/>
        </w:rPr>
        <w:t xml:space="preserve">一、问：依照我国律师法的规定，请分析该辩护意见存在哪些问题？为什么？ </w:t>
      </w:r>
    </w:p>
    <w:p w14:paraId="0A0A66FC"/>
    <w:p w14:paraId="298ED8EA">
      <w:pPr>
        <w:rPr>
          <w:rFonts w:hint="eastAsia"/>
        </w:rPr>
      </w:pPr>
    </w:p>
    <w:p w14:paraId="75EB58D0">
      <w:pPr>
        <w:rPr>
          <w:rFonts w:hint="eastAsia"/>
        </w:rPr>
      </w:pPr>
    </w:p>
    <w:p w14:paraId="40D8269B">
      <w:pPr>
        <w:rPr>
          <w:rFonts w:hint="eastAsia"/>
        </w:rPr>
      </w:pPr>
    </w:p>
    <w:p w14:paraId="27E29DA5">
      <w:pPr>
        <w:rPr>
          <w:rFonts w:hint="eastAsia"/>
        </w:rPr>
      </w:pPr>
    </w:p>
    <w:p w14:paraId="0D97C386">
      <w:pPr>
        <w:rPr>
          <w:rFonts w:hint="eastAsia"/>
        </w:rPr>
      </w:pPr>
    </w:p>
    <w:p w14:paraId="55AF4149">
      <w:pPr>
        <w:rPr>
          <w:rFonts w:hint="eastAsia"/>
        </w:rPr>
      </w:pPr>
    </w:p>
    <w:p w14:paraId="52E5D4AD">
      <w:pPr>
        <w:rPr>
          <w:rFonts w:hint="eastAsia"/>
        </w:rPr>
      </w:pPr>
    </w:p>
    <w:p w14:paraId="5230A016">
      <w:pPr>
        <w:rPr>
          <w:rFonts w:hint="eastAsia"/>
        </w:rPr>
      </w:pPr>
    </w:p>
    <w:p w14:paraId="4C1D792F">
      <w:r>
        <w:rPr>
          <w:rFonts w:hint="eastAsia"/>
        </w:rPr>
        <w:t>案例素材二</w:t>
      </w:r>
    </w:p>
    <w:p w14:paraId="21BEDD4A"/>
    <w:p w14:paraId="323C11DC">
      <w:r>
        <w:rPr>
          <w:rFonts w:hint="eastAsia"/>
        </w:rPr>
        <w:t>2011年9月26日杭州电视台“阿六头说新闻”报道：</w:t>
      </w:r>
    </w:p>
    <w:p w14:paraId="458604AE">
      <w:r>
        <w:rPr>
          <w:rFonts w:hint="eastAsia"/>
        </w:rPr>
        <w:t>主持人：9月24日有个叫“玫瑰刺身”的微博发贴说：杭州慧娟面馆一年使用十多吨地沟油，昨天（9月25日）又有一个叫“小越洋子”的网友也发了条微博：听说杭州慧娟面馆被卫生局查出使用地沟油，求证中。陏后，不管是慧娟面馆的老板高洁，还是监管部门杭州上城区卫生监督所的唐副所长的手机都快炸开了锅了。</w:t>
      </w:r>
    </w:p>
    <w:p w14:paraId="416E664C">
      <w:r>
        <w:rPr>
          <w:rFonts w:hint="eastAsia"/>
        </w:rPr>
        <w:t>慧娟面馆高洁老板：“陆续就有新闻媒体打电话来询问，我比较震惊，然后也有点害怕，随便哪个人都知道现在微博是这个时代很流行的一样东西，今天发上去，可能明天一下子转上百上千，甚至上十万的点击率都可能有。现在是对地沟油的敏感时期，因为我们饭店最害怕的就是在吃的上面出现问题，这个色拉油是每一样菜里面，都要用到的，但是，我回过头来一想：清者自清吗！我没有什么好怕的。”</w:t>
      </w:r>
    </w:p>
    <w:p w14:paraId="43573858">
      <w:r>
        <w:rPr>
          <w:rFonts w:hint="eastAsia"/>
        </w:rPr>
        <w:t>上城区卫生监督唐副所长（手里拿着一个装着油料的容器）：“这是昨天从慧娟面馆采回来的油。”</w:t>
      </w:r>
    </w:p>
    <w:p w14:paraId="04194D6E">
      <w:r>
        <w:rPr>
          <w:rFonts w:hint="eastAsia"/>
        </w:rPr>
        <w:t>记者：“是几点钟采来的？”</w:t>
      </w:r>
    </w:p>
    <w:p w14:paraId="59BC370C">
      <w:r>
        <w:rPr>
          <w:rFonts w:hint="eastAsia"/>
        </w:rPr>
        <w:t>唐副所长：“我们是傍晚5点25分，从慧娟厨房里的，正在使用的食用油桶里，在没有任何防备的情况下采集来的。”</w:t>
      </w:r>
    </w:p>
    <w:p w14:paraId="2498A925">
      <w:r>
        <w:rPr>
          <w:rFonts w:hint="eastAsia"/>
        </w:rPr>
        <w:t>主持人旁白：监管部门出手蛮快，老板高洁也出手了，注册了微博的帐号，给网友“小越洋子”发了段话语。</w:t>
      </w:r>
    </w:p>
    <w:p w14:paraId="0F9DA57E">
      <w:r>
        <w:rPr>
          <w:rFonts w:hint="eastAsia"/>
        </w:rPr>
        <w:t>高洁：“我说希望你在有事实依据的情况下，作出评论，发出这条微博，但我不想因为你几句话，而毁了我妈妈一生的心血。”</w:t>
      </w:r>
    </w:p>
    <w:p w14:paraId="2DE29D54">
      <w:r>
        <w:rPr>
          <w:rFonts w:hint="eastAsia"/>
        </w:rPr>
        <w:t>主持人旁白：今天上午，阿六头打开微博，发现不管是“小越洋子”还是“玫瑰刺身”之前发的关于慧娟面馆使用地沟油的微博都已经删除了。高老板拍胸脯说清者自清，那么监管部门调查结果又是如何呢？</w:t>
      </w:r>
    </w:p>
    <w:p w14:paraId="69BA6F16">
      <w:r>
        <w:rPr>
          <w:rFonts w:hint="eastAsia"/>
        </w:rPr>
        <w:t>上城区卫生监督所唐副所长：“就事论事，慧娟面馆使用的食用油脂，到目前为止，我们都没有发现它使用地沟油，无论从颜色方面还是沉淀物方面还是感官性方面都没有什么异常，卫生监督目前对地沟油的判断也没有这方面的一些监督经验，我们只能做到你的油脂来源是规范的。”</w:t>
      </w:r>
    </w:p>
    <w:p w14:paraId="30449B73">
      <w:r>
        <w:rPr>
          <w:rFonts w:hint="eastAsia"/>
        </w:rPr>
        <w:t>记者：“就是拿得出这些（购买油脂）的凭证。”</w:t>
      </w:r>
    </w:p>
    <w:p w14:paraId="530C594D">
      <w:r>
        <w:rPr>
          <w:rFonts w:hint="eastAsia"/>
        </w:rPr>
        <w:t>唐副所长：“对，就是有进货的凭证，包括经销商、合作单位的（正规证件）。”</w:t>
      </w:r>
    </w:p>
    <w:p w14:paraId="1BCAC69A">
      <w:r>
        <w:rPr>
          <w:rFonts w:hint="eastAsia"/>
        </w:rPr>
        <w:t>高洁：“我都是从望江路农贸市场里的供应商供应给我的。”</w:t>
      </w:r>
    </w:p>
    <w:p w14:paraId="4D31BD70">
      <w:r>
        <w:rPr>
          <w:rFonts w:hint="eastAsia"/>
        </w:rPr>
        <w:t>记者：“供应你多长时间长了？”</w:t>
      </w:r>
    </w:p>
    <w:p w14:paraId="083D5412">
      <w:r>
        <w:rPr>
          <w:rFonts w:hint="eastAsia"/>
        </w:rPr>
        <w:t>高洁：“大概一年多吧。”</w:t>
      </w:r>
    </w:p>
    <w:p w14:paraId="33CEFCF9">
      <w:r>
        <w:rPr>
          <w:rFonts w:hint="eastAsia"/>
        </w:rPr>
        <w:t>记者：“那之前呢？”</w:t>
      </w:r>
    </w:p>
    <w:p w14:paraId="26CBAC68">
      <w:r>
        <w:rPr>
          <w:rFonts w:hint="eastAsia"/>
        </w:rPr>
        <w:t>高洁：“之前是从油脂公司进货的，但叫不应，所以后来我选择宁可贵一、二毛钱（一斤），但是我叫得应，我哪怕是晚上后半夜，我没油了，我打个电话他马上会送来，质量我是放心的，它们（供货商）都有商业执照包括有资质的。”</w:t>
      </w:r>
    </w:p>
    <w:p w14:paraId="6EA1E45A">
      <w:r>
        <w:rPr>
          <w:rFonts w:hint="eastAsia"/>
        </w:rPr>
        <w:t>记者：“老板高洁还说，从目前情况来看，这次的微博事件没有影响到客源，今天中午，望江门这家店（慧娟面馆）来吃面的朋友还是满进满出。”</w:t>
      </w:r>
    </w:p>
    <w:p w14:paraId="53C230FA">
      <w:r>
        <w:rPr>
          <w:rFonts w:hint="eastAsia"/>
        </w:rPr>
        <w:t>高洁：“当然也有会问（地沟油的事），但是很多顾客都挺我的。”</w:t>
      </w:r>
    </w:p>
    <w:p w14:paraId="5BDDD065">
      <w:r>
        <w:rPr>
          <w:rFonts w:hint="eastAsia"/>
        </w:rPr>
        <w:t>正在慧娟面包吃面的女顾客：“我们是专门来吃的。”</w:t>
      </w:r>
    </w:p>
    <w:p w14:paraId="679089E8">
      <w:r>
        <w:rPr>
          <w:rFonts w:hint="eastAsia"/>
        </w:rPr>
        <w:t>记者：“你信那个消息（地沟油）吗？”</w:t>
      </w:r>
    </w:p>
    <w:p w14:paraId="2F07739B">
      <w:r>
        <w:rPr>
          <w:rFonts w:hint="eastAsia"/>
        </w:rPr>
        <w:t>吃面的女顾客摇了摇头：“我想想是不可能的。”</w:t>
      </w:r>
    </w:p>
    <w:p w14:paraId="4BEAD17B">
      <w:r>
        <w:rPr>
          <w:rFonts w:hint="eastAsia"/>
        </w:rPr>
        <w:t>旁边正在吃面的另外俩女顾客：“没有吧！应该OK的吧。”</w:t>
      </w:r>
    </w:p>
    <w:p w14:paraId="0A73432A">
      <w:r>
        <w:rPr>
          <w:rFonts w:hint="eastAsia"/>
        </w:rPr>
        <w:t>记者：“另外，高老板还拜托阿六头一件事情。遇到这种网络谣言，他应该如何维护自家的权益呢？”</w:t>
      </w:r>
    </w:p>
    <w:p w14:paraId="02E44FD1">
      <w:r>
        <w:rPr>
          <w:rFonts w:hint="eastAsia"/>
        </w:rPr>
        <w:t>阿六头金牌律师凌律师建议：高老板，你应该拿起法律武器去告诬蔑你的人。</w:t>
      </w:r>
    </w:p>
    <w:p w14:paraId="0BD6C930">
      <w:r>
        <w:rPr>
          <w:rFonts w:hint="eastAsia"/>
        </w:rPr>
        <w:t>凌律师：“对于网络上散布侵权言论的网页，应该进行证据保全，最好的方法是请公证处进行网页公证，然后应该向有关的网络服务商发出书面的通知，对这些非法言论进行删除或者屏蔽，如果没有及时删除的话，在这种情况下，你可以把网络服务商未及时删除的网页再进行证据保全，以便你在起诉的时候，不仅起诉实际侵权人，同时把未及时删除网页和言论的网络服务商也作为共同被告。”</w:t>
      </w:r>
    </w:p>
    <w:p w14:paraId="49F0FC1F">
      <w:r>
        <w:rPr>
          <w:rFonts w:hint="eastAsia"/>
        </w:rPr>
        <w:t>三、请根据上述材料，请回答下列两个问题。</w:t>
      </w:r>
    </w:p>
    <w:p w14:paraId="3D051F3F">
      <w:r>
        <w:rPr>
          <w:rFonts w:hint="eastAsia"/>
        </w:rPr>
        <w:t xml:space="preserve">1、本案中凌律师的建议，你如何评价？ </w:t>
      </w:r>
    </w:p>
    <w:p w14:paraId="13375CEC">
      <w:r>
        <w:rPr>
          <w:rFonts w:hint="eastAsia"/>
        </w:rPr>
        <w:t xml:space="preserve">2、本案中杭州上城区卫生监督所的唐副所长在电视节目中的言论，你又是如何评价的？ </w:t>
      </w:r>
    </w:p>
    <w:p w14:paraId="4DF49530"/>
    <w:p w14:paraId="005C42CB">
      <w:pPr>
        <w:rPr>
          <w:rFonts w:hint="eastAsia"/>
        </w:rPr>
      </w:pPr>
    </w:p>
    <w:p w14:paraId="34023474">
      <w:pPr>
        <w:rPr>
          <w:rFonts w:hint="eastAsia"/>
        </w:rPr>
      </w:pPr>
    </w:p>
    <w:p w14:paraId="0499DE1B">
      <w:pPr>
        <w:rPr>
          <w:rFonts w:hint="eastAsia"/>
        </w:rPr>
      </w:pPr>
    </w:p>
    <w:p w14:paraId="7BE23165">
      <w:pPr>
        <w:rPr>
          <w:rFonts w:hint="eastAsia"/>
        </w:rPr>
      </w:pPr>
    </w:p>
    <w:p w14:paraId="221B7752">
      <w:pPr>
        <w:rPr>
          <w:rFonts w:hint="eastAsia"/>
        </w:rPr>
      </w:pPr>
    </w:p>
    <w:p w14:paraId="14A4A625">
      <w:pPr>
        <w:rPr>
          <w:rFonts w:hint="eastAsia"/>
        </w:rPr>
      </w:pPr>
    </w:p>
    <w:p w14:paraId="43F20DB0">
      <w:pPr>
        <w:rPr>
          <w:rFonts w:hint="eastAsia"/>
        </w:rPr>
      </w:pPr>
    </w:p>
    <w:p w14:paraId="1D09F228">
      <w:pPr>
        <w:rPr>
          <w:rFonts w:hint="eastAsia"/>
        </w:rPr>
      </w:pPr>
    </w:p>
    <w:p w14:paraId="503DC4B0">
      <w:pPr>
        <w:rPr>
          <w:rFonts w:hint="eastAsia"/>
        </w:rPr>
      </w:pPr>
    </w:p>
    <w:p w14:paraId="4BBF8567">
      <w:pPr>
        <w:rPr>
          <w:rFonts w:hint="eastAsia"/>
        </w:rPr>
      </w:pPr>
    </w:p>
    <w:p w14:paraId="288D630F">
      <w:pPr>
        <w:rPr>
          <w:rFonts w:hint="eastAsia"/>
        </w:rPr>
      </w:pPr>
    </w:p>
    <w:p w14:paraId="3C62AD3C">
      <w:pPr>
        <w:rPr>
          <w:rFonts w:hint="eastAsia"/>
        </w:rPr>
      </w:pPr>
    </w:p>
    <w:p w14:paraId="1934784E">
      <w:pPr>
        <w:rPr>
          <w:rFonts w:hint="eastAsia"/>
        </w:rPr>
      </w:pPr>
    </w:p>
    <w:p w14:paraId="3F1C85EE">
      <w:pPr>
        <w:rPr>
          <w:rFonts w:hint="eastAsia"/>
        </w:rPr>
      </w:pPr>
    </w:p>
    <w:p w14:paraId="0A91B691">
      <w:pPr>
        <w:rPr>
          <w:rFonts w:hint="eastAsia"/>
        </w:rPr>
      </w:pPr>
    </w:p>
    <w:p w14:paraId="3F562611">
      <w:pPr>
        <w:rPr>
          <w:rFonts w:hint="eastAsia"/>
        </w:rPr>
      </w:pPr>
    </w:p>
    <w:p w14:paraId="2BD0C409">
      <w:pPr>
        <w:rPr>
          <w:rFonts w:hint="eastAsia"/>
        </w:rPr>
      </w:pPr>
    </w:p>
    <w:p w14:paraId="75ECECAD">
      <w:pPr>
        <w:rPr>
          <w:rFonts w:hint="eastAsia"/>
        </w:rPr>
      </w:pPr>
    </w:p>
    <w:p w14:paraId="20244AE7">
      <w:pPr>
        <w:rPr>
          <w:rFonts w:hint="eastAsia"/>
        </w:rPr>
      </w:pPr>
    </w:p>
    <w:p w14:paraId="12D3C88D">
      <w:pPr>
        <w:rPr>
          <w:rFonts w:hint="eastAsia"/>
        </w:rPr>
      </w:pPr>
    </w:p>
    <w:p w14:paraId="5D50761F">
      <w:pPr>
        <w:rPr>
          <w:rFonts w:hint="eastAsia"/>
        </w:rPr>
      </w:pPr>
    </w:p>
    <w:p w14:paraId="1F1CC206">
      <w:pPr>
        <w:rPr>
          <w:rFonts w:hint="eastAsia"/>
        </w:rPr>
      </w:pPr>
    </w:p>
    <w:p w14:paraId="399E071B">
      <w:pPr>
        <w:rPr>
          <w:rFonts w:hint="eastAsia"/>
        </w:rPr>
      </w:pPr>
    </w:p>
    <w:p w14:paraId="3F284DB3">
      <w:pPr>
        <w:rPr>
          <w:rFonts w:hint="eastAsia"/>
        </w:rPr>
      </w:pPr>
    </w:p>
    <w:p w14:paraId="4383C5EA">
      <w:pPr>
        <w:rPr>
          <w:rFonts w:hint="eastAsia"/>
        </w:rPr>
      </w:pPr>
    </w:p>
    <w:p w14:paraId="3F77C11E">
      <w:pPr>
        <w:rPr>
          <w:rFonts w:hint="eastAsia"/>
        </w:rPr>
      </w:pPr>
    </w:p>
    <w:p w14:paraId="2E30FF8F">
      <w:pPr>
        <w:rPr>
          <w:rFonts w:hint="eastAsia"/>
        </w:rPr>
      </w:pPr>
    </w:p>
    <w:p w14:paraId="27243697">
      <w:pPr>
        <w:rPr>
          <w:rFonts w:hint="eastAsia"/>
        </w:rPr>
      </w:pPr>
    </w:p>
    <w:p w14:paraId="434D26AD">
      <w:pPr>
        <w:rPr>
          <w:rFonts w:hint="eastAsia"/>
        </w:rPr>
      </w:pPr>
    </w:p>
    <w:p w14:paraId="4942CD3D">
      <w:pPr>
        <w:rPr>
          <w:rFonts w:hint="eastAsia"/>
        </w:rPr>
      </w:pPr>
    </w:p>
    <w:p w14:paraId="540C127B">
      <w:pPr>
        <w:rPr>
          <w:rFonts w:hint="eastAsia"/>
        </w:rPr>
      </w:pPr>
    </w:p>
    <w:p w14:paraId="6E4202B6">
      <w:pPr>
        <w:rPr>
          <w:rFonts w:hint="eastAsia"/>
        </w:rPr>
      </w:pPr>
    </w:p>
    <w:p w14:paraId="4A596802">
      <w:pPr>
        <w:rPr>
          <w:rFonts w:hint="eastAsia"/>
        </w:rPr>
      </w:pPr>
    </w:p>
    <w:p w14:paraId="531903A4">
      <w:pPr>
        <w:rPr>
          <w:rFonts w:hint="eastAsia"/>
        </w:rPr>
      </w:pPr>
    </w:p>
    <w:p w14:paraId="0C19BBC4">
      <w:r>
        <w:rPr>
          <w:rFonts w:hint="eastAsia"/>
        </w:rPr>
        <w:t>案例素材之三：庭审实录</w:t>
      </w:r>
    </w:p>
    <w:p w14:paraId="52450799">
      <w:r>
        <w:rPr>
          <w:rFonts w:hint="eastAsia"/>
        </w:rPr>
        <w:t>审理法院：北京西城区人民法院</w:t>
      </w:r>
    </w:p>
    <w:p w14:paraId="3D4157AB">
      <w:r>
        <w:rPr>
          <w:rFonts w:hint="eastAsia"/>
        </w:rPr>
        <w:t>审理案件：原告侯瓒、侯一珊诉被告侯耀华、牛承志、刘伊侵占侯耀文遗产</w:t>
      </w:r>
    </w:p>
    <w:p w14:paraId="0ECD01DB">
      <w:r>
        <w:rPr>
          <w:rFonts w:hint="eastAsia"/>
        </w:rPr>
        <w:t>审判长：北京市西城区人民法院今天依法公开审理原告候瓒、侯一珊诉被告侯耀华、牛承志、郭晓晓、刘伊返还所占遗产一案，适用普通程序，依法组成合议庭，由本院审判员施丹琳担任审判长，合议庭其他组成人员有本院代理审判员林涛、本院人民陪审员伍丕显，由书记员王婷婷担任法庭记录。下面告知当事人的权利和义务（略）</w:t>
      </w:r>
    </w:p>
    <w:p w14:paraId="69CCF404">
      <w:r>
        <w:rPr>
          <w:rFonts w:hint="eastAsia"/>
        </w:rPr>
        <w:t>上述权利与义务以及合议庭组成人员，双方当事人是否听清？是否申请合议庭成员回避？原告？</w:t>
      </w:r>
    </w:p>
    <w:p w14:paraId="76BA25E6">
      <w:r>
        <w:rPr>
          <w:rFonts w:hint="eastAsia"/>
        </w:rPr>
        <w:t>原告：听清楚了。不申请回避。</w:t>
      </w:r>
    </w:p>
    <w:p w14:paraId="5E4CF0B3">
      <w:r>
        <w:rPr>
          <w:rFonts w:hint="eastAsia"/>
        </w:rPr>
        <w:t>审判长：被告？</w:t>
      </w:r>
    </w:p>
    <w:p w14:paraId="48BADE84">
      <w:r>
        <w:rPr>
          <w:rFonts w:hint="eastAsia"/>
        </w:rPr>
        <w:t>被告：听清楚了。不申请。</w:t>
      </w:r>
    </w:p>
    <w:p w14:paraId="43F73F7A">
      <w:r>
        <w:rPr>
          <w:rFonts w:hint="eastAsia"/>
        </w:rPr>
        <w:t>审判长：现在进行法庭调查，法庭调查为双方所争议之事实，双方对自己的主张应提供相应证据证明，反驳对方意见，应具体说明理由。下面，首先由原告陈述事实与理由，并陈述具体的诉讼请求。</w:t>
      </w:r>
    </w:p>
    <w:p w14:paraId="7F4AF6C5">
      <w:r>
        <w:rPr>
          <w:rFonts w:hint="eastAsia"/>
        </w:rPr>
        <w:t>原告代理人：好的。原告提出如下的事实与理由。</w:t>
      </w:r>
    </w:p>
    <w:p w14:paraId="79E9E065">
      <w:r>
        <w:rPr>
          <w:rFonts w:hint="eastAsia"/>
        </w:rPr>
        <w:t>第一项… …提出第一项的诉讼请求是，判令被告侯耀华、牛承志连带返还从银行取走的现金人民币1248832.2元、美元10699.32元；</w:t>
      </w:r>
    </w:p>
    <w:p w14:paraId="1C527436">
      <w:r>
        <w:rPr>
          <w:rFonts w:hint="eastAsia"/>
        </w:rPr>
        <w:t>第二项诉讼请求是请求判令被告侯耀华、郭晓晓、刘伊连带返还侵占侯耀文先生葬礼上收取的礼金约30万元以及侯耀文的徒弟们为侯耀文先生购买墓地的赠款约30万元，两项共计60万元人民币；</w:t>
      </w:r>
    </w:p>
    <w:p w14:paraId="2240F64A">
      <w:r>
        <w:rPr>
          <w:rFonts w:hint="eastAsia"/>
        </w:rPr>
        <w:t>四… … 对不起！我再补充一下，三判令被告侯耀华、郭晓晓、刘伊连带返还所侵占的侯耀文的遗产，具体遗产范围以法院清点的清单为准；</w:t>
      </w:r>
    </w:p>
    <w:p w14:paraId="313530FA">
      <w:r>
        <w:rPr>
          <w:rFonts w:hint="eastAsia"/>
        </w:rPr>
        <w:t>四、本案的诉讼费全部由被告来承担。</w:t>
      </w:r>
    </w:p>
    <w:p w14:paraId="60A4B438">
      <w:r>
        <w:rPr>
          <w:rFonts w:hint="eastAsia"/>
        </w:rPr>
        <w:t>具体的事实（略）</w:t>
      </w:r>
    </w:p>
    <w:p w14:paraId="29A2BA89">
      <w:r>
        <w:rPr>
          <w:rFonts w:hint="eastAsia"/>
        </w:rPr>
        <w:t>鉴于被告在答辩中对原告第一项诉讼请求和第二项诉讼请求提出了反驳，原告在案件审理中放弃了第一项和第二项请求，因此，本案举证和质证的焦点是围绕在被告所侵占的遗产问题了。庭审继续。</w:t>
      </w:r>
    </w:p>
    <w:p w14:paraId="62DAECB7">
      <w:r>
        <w:rPr>
          <w:rFonts w:hint="eastAsia"/>
        </w:rPr>
        <w:t>审判长：下面进行法庭举证与法庭质证，法庭举证要围绕诉讼请求和主张直接相关的内容进行，请原告出示证据并说明证据所要说明的对象。</w:t>
      </w:r>
    </w:p>
    <w:p w14:paraId="03B8053F">
      <w:r>
        <w:rPr>
          <w:rFonts w:hint="eastAsia"/>
        </w:rPr>
        <w:t>原告代理人：好的，原告向法庭提供三份证据。</w:t>
      </w:r>
    </w:p>
    <w:p w14:paraId="45ADF06B">
      <w:r>
        <w:rPr>
          <w:rFonts w:hint="eastAsia"/>
        </w:rPr>
        <w:t>第一份证据是死亡证明，证据来源是北京红十字会医院急病抢救中心，我们要证明的是：2007年6月23日发生了被继承人侯耀文因急性心肌梗塞而死亡的事实。</w:t>
      </w:r>
    </w:p>
    <w:p w14:paraId="3CED0AFE">
      <w:r>
        <w:rPr>
          <w:rFonts w:hint="eastAsia"/>
        </w:rPr>
        <w:t>审判长：死亡证明。被告有无异议？</w:t>
      </w:r>
    </w:p>
    <w:p w14:paraId="6CCB8F1B">
      <w:r>
        <w:rPr>
          <w:rFonts w:hint="eastAsia"/>
        </w:rPr>
        <w:t>被告代理人的异议（略）</w:t>
      </w:r>
    </w:p>
    <w:p w14:paraId="583E0108">
      <w:r>
        <w:rPr>
          <w:rFonts w:hint="eastAsia"/>
        </w:rPr>
        <w:t>审判长：第二份证据？</w:t>
      </w:r>
    </w:p>
    <w:p w14:paraId="5DBA846B">
      <w:r>
        <w:rPr>
          <w:rFonts w:hint="eastAsia"/>
        </w:rPr>
        <w:t>原告代理人：好，第二份证据是公证书，证据来源是长安公证处，我们要证明的是侯瓒是被继承人侯耀文的女儿，是侯瓒（？口误）的第一顺序法定继承人，关于公证书我们已提交法庭。</w:t>
      </w:r>
    </w:p>
    <w:p w14:paraId="5776E804">
      <w:r>
        <w:rPr>
          <w:rFonts w:hint="eastAsia"/>
        </w:rPr>
        <w:t>被告代理人的质证（略）</w:t>
      </w:r>
    </w:p>
    <w:p w14:paraId="07AFD7EB">
      <w:r>
        <w:rPr>
          <w:rFonts w:hint="eastAsia"/>
        </w:rPr>
        <w:t>应被告代理人要求，原告代理人将公证书所证明的对象在法庭重新陈述。</w:t>
      </w:r>
    </w:p>
    <w:p w14:paraId="7FFB0C83">
      <w:r>
        <w:rPr>
          <w:rFonts w:hint="eastAsia"/>
        </w:rPr>
        <w:t>原告代理人：好，我再讲一遍，我们要证明的是侯瓒是被继承人侯耀文的女儿，是侯耀文的第一顺序法定继承人。</w:t>
      </w:r>
    </w:p>
    <w:p w14:paraId="5D1BFBFE">
      <w:r>
        <w:rPr>
          <w:rFonts w:hint="eastAsia"/>
        </w:rPr>
        <w:t>审判长：听清楚了没有？</w:t>
      </w:r>
    </w:p>
    <w:p w14:paraId="159F2999">
      <w:r>
        <w:rPr>
          <w:rFonts w:hint="eastAsia"/>
        </w:rPr>
        <w:t>被告代理人：听清楚了。</w:t>
      </w:r>
    </w:p>
    <w:p w14:paraId="160BA2C2">
      <w:r>
        <w:rPr>
          <w:rFonts w:hint="eastAsia"/>
        </w:rPr>
        <w:t>审判长：原告继续举证。</w:t>
      </w:r>
    </w:p>
    <w:p w14:paraId="576FAD97">
      <w:r>
        <w:rPr>
          <w:rFonts w:hint="eastAsia"/>
        </w:rPr>
        <w:t>原告代理人：第三份证据是侯耀文先生生前所居住的玫瑰园50号别墅被搬家后的照片及影像，照片我们已提交法庭，影像的视频材料（光碟）也已经提交，我们要证明的事项是：玫瑰园50号别墅内的全部物品均被被告搬空，甚至连原有的整体厨房、卫浴设施也被拆除，房屋本身受到损害。因为，照片是静态的图片，还不能够完全、充分反映玫瑰园50号别墅内各种物品被搬空、房屋被毁坏的客观情况，所以，我们请求法庭能够将我们作为辅助证据的摄于玫瑰别墅内的视频材料能够在现场进行播放，以便法庭能够了解相关的事实。</w:t>
      </w:r>
    </w:p>
    <w:p w14:paraId="72634DC6">
      <w:r>
        <w:rPr>
          <w:rFonts w:hint="eastAsia"/>
        </w:rPr>
        <w:t>审判长：准许！请技术人员播放原告提供的视频材料。</w:t>
      </w:r>
    </w:p>
    <w:p w14:paraId="66AB8F8D">
      <w:r>
        <w:rPr>
          <w:rFonts w:hint="eastAsia"/>
        </w:rPr>
        <w:t>技术人员播放视频材料，视频材料所展示的是房屋内的卫浴设施被毁坏、灯泡被摘走以及卧室、厨房和卫生间的情况。</w:t>
      </w:r>
    </w:p>
    <w:p w14:paraId="5EAF0058">
      <w:r>
        <w:rPr>
          <w:rFonts w:hint="eastAsia"/>
        </w:rPr>
        <w:t>时间长度为3分11秒。播放后原告代理人进行补充说明。</w:t>
      </w:r>
    </w:p>
    <w:p w14:paraId="7AAD0DED">
      <w:r>
        <w:rPr>
          <w:rFonts w:hint="eastAsia"/>
        </w:rPr>
        <w:t>原告代理人：简单地从这个视频说几句，从刚才的视频材料，我们可以看出：漏水还有其他问题的是在地下室，另外，这个房子是侯耀文先生住了三年多的住所，但凡到过侯耀文先生家的人都知道，原来这个住所地下一层，地上三层，东西是放得满满当当的，有各种侯先生喜好的物件都放在相关珠宝盒…有其他家俱，等等。但现在，我们通过这个视频可以看到，已经空无一物，所以，我们想证明这些东西既有被人搬走的事实，屋内也有被损坏的事实，房屋本身也受到某种破坏，所以，我们呢……认为这个侵权事实可以通过相关图片、通过这个视频是可以体会的，是可以证明被被告搬空的事实的。这是我们所证明的相关事项。</w:t>
      </w:r>
    </w:p>
    <w:p w14:paraId="5BFC34C2">
      <w:r>
        <w:rPr>
          <w:rFonts w:hint="eastAsia"/>
        </w:rPr>
        <w:t>被告质证（略）</w:t>
      </w:r>
    </w:p>
    <w:p w14:paraId="7580D376">
      <w:r>
        <w:rPr>
          <w:rFonts w:hint="eastAsia"/>
        </w:rPr>
        <w:t>三、通过上述庭审实录，请你分析本案原告及代理人在诉讼请求的设置以及法庭举证方面存</w:t>
      </w:r>
      <w:bookmarkStart w:id="0" w:name="_GoBack"/>
      <w:bookmarkEnd w:id="0"/>
      <w:r>
        <w:rPr>
          <w:rFonts w:hint="eastAsia"/>
        </w:rPr>
        <w:t xml:space="preserve">在哪些失当之处？为什么？ </w:t>
      </w:r>
    </w:p>
    <w:p w14:paraId="1B164299">
      <w:pPr>
        <w:rPr>
          <w:rFonts w:hint="eastAsia"/>
        </w:rPr>
      </w:pPr>
    </w:p>
    <w:p w14:paraId="34C6C6FD">
      <w:pPr>
        <w:rPr>
          <w:rFonts w:hint="eastAsia"/>
        </w:rPr>
      </w:pPr>
    </w:p>
    <w:sectPr>
      <w:footerReference r:id="rId3" w:type="default"/>
      <w:footerReference r:id="rId4" w:type="even"/>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169713"/>
      <w:placeholder>
        <w:docPart w:val="A848F1E4ADC14C8F9E77B1147D92ADC7"/>
      </w:placeholder>
      <w:temporary/>
      <w:showingPlcHdr/>
    </w:sdtPr>
    <w:sdtContent>
      <w:p w14:paraId="7092C9C2">
        <w:pPr>
          <w:pStyle w:val="3"/>
        </w:pPr>
        <w:r>
          <w:rPr>
            <w:lang w:val="zh-CN"/>
          </w:rPr>
          <w:t>[键入文字]</w:t>
        </w:r>
      </w:p>
    </w:sdtContent>
  </w:sdt>
  <w:p w14:paraId="4A5303B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38E8B">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0170295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F0"/>
    <w:rsid w:val="0000565C"/>
    <w:rsid w:val="00032289"/>
    <w:rsid w:val="000C58AD"/>
    <w:rsid w:val="001D53D9"/>
    <w:rsid w:val="001E2AAE"/>
    <w:rsid w:val="00225D0F"/>
    <w:rsid w:val="00242423"/>
    <w:rsid w:val="002621A7"/>
    <w:rsid w:val="00292132"/>
    <w:rsid w:val="00301C81"/>
    <w:rsid w:val="003300BE"/>
    <w:rsid w:val="00333DB7"/>
    <w:rsid w:val="00333DCD"/>
    <w:rsid w:val="003719E5"/>
    <w:rsid w:val="00375A91"/>
    <w:rsid w:val="00391968"/>
    <w:rsid w:val="00454DD2"/>
    <w:rsid w:val="00454ED8"/>
    <w:rsid w:val="004674B2"/>
    <w:rsid w:val="00476546"/>
    <w:rsid w:val="00515FAA"/>
    <w:rsid w:val="0053320C"/>
    <w:rsid w:val="00535B80"/>
    <w:rsid w:val="00557A97"/>
    <w:rsid w:val="0056506B"/>
    <w:rsid w:val="00583176"/>
    <w:rsid w:val="00592268"/>
    <w:rsid w:val="006122DF"/>
    <w:rsid w:val="00615A96"/>
    <w:rsid w:val="006409C0"/>
    <w:rsid w:val="00641EFF"/>
    <w:rsid w:val="00655119"/>
    <w:rsid w:val="00670918"/>
    <w:rsid w:val="0071135E"/>
    <w:rsid w:val="007130F0"/>
    <w:rsid w:val="007403E5"/>
    <w:rsid w:val="00746DC9"/>
    <w:rsid w:val="00754E34"/>
    <w:rsid w:val="007647A9"/>
    <w:rsid w:val="007B524B"/>
    <w:rsid w:val="007C6F66"/>
    <w:rsid w:val="00843086"/>
    <w:rsid w:val="00865FC5"/>
    <w:rsid w:val="00907372"/>
    <w:rsid w:val="009755B3"/>
    <w:rsid w:val="00A02CEE"/>
    <w:rsid w:val="00A47DCA"/>
    <w:rsid w:val="00A62232"/>
    <w:rsid w:val="00A85CF5"/>
    <w:rsid w:val="00AA1632"/>
    <w:rsid w:val="00AA64DB"/>
    <w:rsid w:val="00B1108F"/>
    <w:rsid w:val="00B269E9"/>
    <w:rsid w:val="00B358AB"/>
    <w:rsid w:val="00B36FA2"/>
    <w:rsid w:val="00B80716"/>
    <w:rsid w:val="00BA6041"/>
    <w:rsid w:val="00C26E9D"/>
    <w:rsid w:val="00C45431"/>
    <w:rsid w:val="00C46B3C"/>
    <w:rsid w:val="00CC255C"/>
    <w:rsid w:val="00CD06FD"/>
    <w:rsid w:val="00D458E5"/>
    <w:rsid w:val="00DF4CA4"/>
    <w:rsid w:val="00E06366"/>
    <w:rsid w:val="00E26DF1"/>
    <w:rsid w:val="00E43165"/>
    <w:rsid w:val="00E503C7"/>
    <w:rsid w:val="00E7135A"/>
    <w:rsid w:val="00E92617"/>
    <w:rsid w:val="00EB21F1"/>
    <w:rsid w:val="00F61706"/>
    <w:rsid w:val="00F94223"/>
    <w:rsid w:val="00FC3335"/>
    <w:rsid w:val="00FD19C2"/>
    <w:rsid w:val="70DF6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0"/>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1"/>
    <w:qFormat/>
    <w:uiPriority w:val="0"/>
    <w:pPr>
      <w:snapToGrid w:val="0"/>
      <w:jc w:val="left"/>
    </w:pPr>
    <w:rPr>
      <w:rFonts w:ascii="Times New Roman" w:hAnsi="Times New Roman" w:eastAsia="宋体" w:cs="Times New Roman"/>
      <w:sz w:val="18"/>
      <w:szCs w:val="18"/>
    </w:rPr>
  </w:style>
  <w:style w:type="character" w:styleId="8">
    <w:name w:val="page number"/>
    <w:basedOn w:val="7"/>
    <w:qFormat/>
    <w:uiPriority w:val="0"/>
  </w:style>
  <w:style w:type="character" w:styleId="9">
    <w:name w:val="footnote reference"/>
    <w:basedOn w:val="7"/>
    <w:qFormat/>
    <w:uiPriority w:val="0"/>
    <w:rPr>
      <w:vertAlign w:val="superscript"/>
    </w:rPr>
  </w:style>
  <w:style w:type="character" w:customStyle="1" w:styleId="10">
    <w:name w:val="页脚 字符"/>
    <w:basedOn w:val="7"/>
    <w:link w:val="3"/>
    <w:uiPriority w:val="99"/>
    <w:rPr>
      <w:rFonts w:ascii="Times New Roman" w:hAnsi="Times New Roman" w:eastAsia="宋体" w:cs="Times New Roman"/>
      <w:sz w:val="18"/>
      <w:szCs w:val="18"/>
    </w:rPr>
  </w:style>
  <w:style w:type="character" w:customStyle="1" w:styleId="11">
    <w:name w:val="脚注文本 字符"/>
    <w:basedOn w:val="7"/>
    <w:link w:val="5"/>
    <w:qFormat/>
    <w:uiPriority w:val="0"/>
    <w:rPr>
      <w:rFonts w:ascii="Times New Roman" w:hAnsi="Times New Roman" w:eastAsia="宋体" w:cs="Times New Roman"/>
      <w:sz w:val="18"/>
      <w:szCs w:val="18"/>
    </w:rPr>
  </w:style>
  <w:style w:type="character" w:customStyle="1" w:styleId="12">
    <w:name w:val="批注框文本 字符"/>
    <w:basedOn w:val="7"/>
    <w:link w:val="2"/>
    <w:semiHidden/>
    <w:uiPriority w:val="99"/>
    <w:rPr>
      <w:sz w:val="18"/>
      <w:szCs w:val="18"/>
    </w:rPr>
  </w:style>
  <w:style w:type="character" w:customStyle="1" w:styleId="13">
    <w:name w:val="页眉 字符"/>
    <w:basedOn w:val="7"/>
    <w:link w:val="4"/>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848F1E4ADC14C8F9E77B1147D92ADC7"/>
        <w:style w:val=""/>
        <w:category>
          <w:name w:val="常规"/>
          <w:gallery w:val="placeholder"/>
        </w:category>
        <w:types>
          <w:type w:val="bbPlcHdr"/>
        </w:types>
        <w:behaviors>
          <w:behavior w:val="content"/>
        </w:behaviors>
        <w:description w:val=""/>
        <w:guid w:val="{03626C90-D9A9-429F-8278-71ADE30219A5}"/>
      </w:docPartPr>
      <w:docPartBody>
        <w:p w14:paraId="73C1DBB5">
          <w:pPr>
            <w:pStyle w:val="5"/>
            <w:rPr>
              <w:rFonts w:hint="eastAsia"/>
            </w:rPr>
          </w:pPr>
          <w:r>
            <w:rPr>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957F4"/>
    <w:rsid w:val="001079AB"/>
    <w:rsid w:val="00177EA6"/>
    <w:rsid w:val="002A7542"/>
    <w:rsid w:val="003300BE"/>
    <w:rsid w:val="003C1F6B"/>
    <w:rsid w:val="00413D6F"/>
    <w:rsid w:val="0050547A"/>
    <w:rsid w:val="00511ADE"/>
    <w:rsid w:val="005C7459"/>
    <w:rsid w:val="00632B54"/>
    <w:rsid w:val="00670918"/>
    <w:rsid w:val="006A62E5"/>
    <w:rsid w:val="006E5BB4"/>
    <w:rsid w:val="008161EB"/>
    <w:rsid w:val="00877053"/>
    <w:rsid w:val="008F185A"/>
    <w:rsid w:val="00A0520E"/>
    <w:rsid w:val="00B5183B"/>
    <w:rsid w:val="00B647F5"/>
    <w:rsid w:val="00C16A6C"/>
    <w:rsid w:val="00C45A0C"/>
    <w:rsid w:val="00C57215"/>
    <w:rsid w:val="00C957F4"/>
    <w:rsid w:val="00E300D9"/>
    <w:rsid w:val="00E56421"/>
    <w:rsid w:val="00E95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848F1E4ADC14C8F9E77B1147D92ADC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5</Pages>
  <Words>5614</Words>
  <Characters>5662</Characters>
  <Lines>41</Lines>
  <Paragraphs>11</Paragraphs>
  <TotalTime>6</TotalTime>
  <ScaleCrop>false</ScaleCrop>
  <LinksUpToDate>false</LinksUpToDate>
  <CharactersWithSpaces>5682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2025-07-03T14:42:00Z</dcterms:created>
  <dc:creator>Hewlett-Packard Company</dc:creator>
  <cp:lastModifiedBy>Casual</cp:lastModifiedBy>
  <dcterms:modified xsi:type="dcterms:W3CDTF">2025-11-04T01:50:22Z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13255C56E3654B42A83538678D2C9A0E_12</vt:lpwstr>
  </property>
</Properties>
</file>