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74EBC">
      <w:pPr>
        <w:spacing w:line="360" w:lineRule="auto"/>
        <w:jc w:val="center"/>
        <w:outlineLvl w:val="0"/>
        <w:rPr>
          <w:rFonts w:hint="eastAsia" w:ascii="宋体" w:hAnsi="宋体" w:eastAsia="宋体" w:cs="Times New Roman"/>
          <w:b/>
          <w:sz w:val="32"/>
          <w:szCs w:val="32"/>
        </w:rPr>
      </w:pPr>
      <w:r>
        <w:rPr>
          <w:rFonts w:hint="eastAsia" w:ascii="宋体" w:hAnsi="宋体" w:eastAsia="宋体" w:cs="Times New Roman"/>
          <w:b/>
          <w:sz w:val="32"/>
          <w:szCs w:val="32"/>
        </w:rPr>
        <w:t>2025学年秋季学期《民事诉讼法》课后作业</w:t>
      </w:r>
    </w:p>
    <w:p w14:paraId="09C9FFA7">
      <w:pPr>
        <w:spacing w:line="360" w:lineRule="auto"/>
        <w:ind w:left="480" w:hanging="480" w:hangingChars="200"/>
        <w:rPr>
          <w:rFonts w:hint="eastAsia" w:ascii="黑体" w:hAnsi="黑体" w:eastAsia="黑体" w:cs="黑体"/>
          <w:sz w:val="24"/>
        </w:rPr>
      </w:pPr>
      <w:r>
        <w:rPr>
          <w:rFonts w:hint="eastAsia" w:ascii="黑体" w:hAnsi="黑体" w:eastAsia="黑体" w:cs="黑体"/>
          <w:sz w:val="24"/>
        </w:rPr>
        <w:t>一、单项选择题（每题只有一个正确答案。）</w:t>
      </w:r>
    </w:p>
    <w:p w14:paraId="256167DC">
      <w:pPr>
        <w:pStyle w:val="2"/>
        <w:tabs>
          <w:tab w:val="left" w:pos="0"/>
          <w:tab w:val="left" w:pos="420"/>
        </w:tabs>
        <w:adjustRightInd w:val="0"/>
        <w:spacing w:before="0" w:beforeAutospacing="0" w:after="0" w:afterAutospacing="0" w:line="360" w:lineRule="auto"/>
        <w:ind w:left="480" w:hanging="480" w:hangingChars="200"/>
        <w:rPr>
          <w:rFonts w:hint="eastAsia"/>
        </w:rPr>
      </w:pPr>
      <w:r>
        <w:rPr>
          <w:rFonts w:hint="eastAsia" w:ascii="Times New Roman" w:hAnsi="Times New Roman"/>
        </w:rPr>
        <w:t>1</w:t>
      </w:r>
      <w:r>
        <w:rPr>
          <w:rFonts w:hint="eastAsia"/>
        </w:rPr>
        <w:t>.</w:t>
      </w:r>
      <w:r>
        <w:t xml:space="preserve">  </w:t>
      </w:r>
      <w:r>
        <w:rPr>
          <w:rFonts w:hint="eastAsia"/>
        </w:rPr>
        <w:t>原告某技术公司诉称，某集成公司等六被告大量制造销售假冒“华为”品牌的交换机，构成侵害商标权行为，要求停止侵权，并请求适用惩罚性赔偿，判令六被告连带赔偿原告经济损失2000万元及合理开支35万元。下列有关本案的表述，错误的是（          ）</w:t>
      </w:r>
    </w:p>
    <w:p w14:paraId="24DA339F">
      <w:pPr>
        <w:pStyle w:val="2"/>
        <w:tabs>
          <w:tab w:val="left" w:pos="0"/>
          <w:tab w:val="left" w:pos="42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A</w:t>
      </w:r>
      <w:r>
        <w:rPr>
          <w:rFonts w:hint="eastAsia"/>
        </w:rPr>
        <w:t xml:space="preserve">. 就诉的类型而言，本案为给付之诉      </w:t>
      </w:r>
    </w:p>
    <w:p w14:paraId="61FB264A">
      <w:pPr>
        <w:pStyle w:val="2"/>
        <w:tabs>
          <w:tab w:val="left" w:pos="0"/>
          <w:tab w:val="left" w:pos="42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B</w:t>
      </w:r>
      <w:r>
        <w:rPr>
          <w:rFonts w:hint="eastAsia"/>
        </w:rPr>
        <w:t>.</w:t>
      </w:r>
      <w:r>
        <w:t xml:space="preserve"> </w:t>
      </w:r>
      <w:r>
        <w:rPr>
          <w:rFonts w:hint="eastAsia"/>
        </w:rPr>
        <w:t>本案诉讼标的是商标侵权法律关系</w:t>
      </w:r>
    </w:p>
    <w:p w14:paraId="7AF8C251">
      <w:pPr>
        <w:pStyle w:val="2"/>
        <w:tabs>
          <w:tab w:val="left" w:pos="0"/>
          <w:tab w:val="left" w:pos="42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C</w:t>
      </w:r>
      <w:r>
        <w:rPr>
          <w:rFonts w:hint="eastAsia"/>
        </w:rPr>
        <w:t>.</w:t>
      </w:r>
      <w:r>
        <w:t xml:space="preserve"> </w:t>
      </w:r>
      <w:r>
        <w:rPr>
          <w:rFonts w:hint="eastAsia"/>
        </w:rPr>
        <w:t xml:space="preserve">原告应与本案具有实质的利害关系       </w:t>
      </w:r>
    </w:p>
    <w:p w14:paraId="34438AAC">
      <w:pPr>
        <w:pStyle w:val="2"/>
        <w:tabs>
          <w:tab w:val="left" w:pos="0"/>
          <w:tab w:val="left" w:pos="42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D</w:t>
      </w:r>
      <w:r>
        <w:rPr>
          <w:rFonts w:hint="eastAsia"/>
        </w:rPr>
        <w:t>.</w:t>
      </w:r>
      <w:r>
        <w:t xml:space="preserve"> </w:t>
      </w:r>
      <w:r>
        <w:rPr>
          <w:rFonts w:hint="eastAsia"/>
        </w:rPr>
        <w:t>2</w:t>
      </w:r>
      <w:r>
        <w:t>000</w:t>
      </w:r>
      <w:r>
        <w:rPr>
          <w:rFonts w:hint="eastAsia"/>
        </w:rPr>
        <w:t>万元和3</w:t>
      </w:r>
      <w:r>
        <w:t>5</w:t>
      </w:r>
      <w:r>
        <w:rPr>
          <w:rFonts w:hint="eastAsia"/>
        </w:rPr>
        <w:t>万元构成诉讼请求</w:t>
      </w:r>
    </w:p>
    <w:p w14:paraId="1E2BBC08">
      <w:pPr>
        <w:pStyle w:val="2"/>
        <w:tabs>
          <w:tab w:val="left" w:pos="0"/>
          <w:tab w:val="left" w:pos="420"/>
        </w:tabs>
        <w:adjustRightInd w:val="0"/>
        <w:spacing w:before="0" w:beforeAutospacing="0" w:after="0" w:afterAutospacing="0" w:line="360" w:lineRule="auto"/>
        <w:ind w:left="480" w:hanging="480" w:hangingChars="200"/>
        <w:rPr>
          <w:rFonts w:hint="eastAsia"/>
        </w:rPr>
      </w:pPr>
      <w:r>
        <w:rPr>
          <w:rFonts w:hint="eastAsia" w:ascii="Times New Roman" w:hAnsi="Times New Roman"/>
        </w:rPr>
        <w:t>2</w:t>
      </w:r>
      <w:r>
        <w:rPr>
          <w:rFonts w:hint="eastAsia"/>
        </w:rPr>
        <w:t>.</w:t>
      </w:r>
      <w:r>
        <w:t xml:space="preserve">  </w:t>
      </w:r>
      <w:r>
        <w:rPr>
          <w:rFonts w:hint="eastAsia"/>
        </w:rPr>
        <w:t>某公司与程某因装修合同违约引发诉讼，一审适用简易程序，程某认为一审法院判决的违约金过高而上诉至南昌市中级人民法院。下列有关本案的表述，错误的是（         ）</w:t>
      </w:r>
    </w:p>
    <w:p w14:paraId="0ED946B1">
      <w:pPr>
        <w:pStyle w:val="2"/>
        <w:tabs>
          <w:tab w:val="left" w:pos="0"/>
          <w:tab w:val="left" w:pos="42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A</w:t>
      </w:r>
      <w:r>
        <w:rPr>
          <w:rFonts w:ascii="Times New Roman" w:hAnsi="Times New Roman"/>
        </w:rPr>
        <w:t xml:space="preserve">. </w:t>
      </w:r>
      <w:r>
        <w:rPr>
          <w:rFonts w:hint="eastAsia"/>
        </w:rPr>
        <w:t xml:space="preserve">民事简易程序应当采用独任制不能适用合议制 </w:t>
      </w:r>
    </w:p>
    <w:p w14:paraId="4079A83A">
      <w:pPr>
        <w:pStyle w:val="2"/>
        <w:tabs>
          <w:tab w:val="left" w:pos="0"/>
          <w:tab w:val="left" w:pos="42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B.</w:t>
      </w:r>
      <w:r>
        <w:rPr>
          <w:rFonts w:ascii="Times New Roman" w:hAnsi="Times New Roman"/>
        </w:rPr>
        <w:t xml:space="preserve"> </w:t>
      </w:r>
      <w:r>
        <w:rPr>
          <w:rFonts w:hint="eastAsia"/>
        </w:rPr>
        <w:t>二审法院须用合议制审理简易程序审结的案件</w:t>
      </w:r>
    </w:p>
    <w:p w14:paraId="16378E31">
      <w:pPr>
        <w:pStyle w:val="2"/>
        <w:tabs>
          <w:tab w:val="left" w:pos="0"/>
          <w:tab w:val="left" w:pos="42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C.</w:t>
      </w:r>
      <w:r>
        <w:rPr>
          <w:rFonts w:hint="eastAsia"/>
        </w:rPr>
        <w:t xml:space="preserve"> 二审法院经双方当事人同意可适用独任制审理</w:t>
      </w:r>
    </w:p>
    <w:p w14:paraId="6C56AE76">
      <w:pPr>
        <w:pStyle w:val="2"/>
        <w:tabs>
          <w:tab w:val="left" w:pos="0"/>
          <w:tab w:val="left" w:pos="42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D.</w:t>
      </w:r>
      <w:r>
        <w:rPr>
          <w:rFonts w:hint="eastAsia"/>
        </w:rPr>
        <w:t xml:space="preserve"> 程某可在二审程序提出新的事实、证据和理由</w:t>
      </w:r>
    </w:p>
    <w:p w14:paraId="546FDBB4">
      <w:pPr>
        <w:pStyle w:val="2"/>
        <w:tabs>
          <w:tab w:val="left" w:pos="315"/>
          <w:tab w:val="left" w:pos="3360"/>
        </w:tabs>
        <w:adjustRightInd w:val="0"/>
        <w:spacing w:before="0" w:beforeAutospacing="0" w:after="0" w:afterAutospacing="0" w:line="360" w:lineRule="auto"/>
        <w:ind w:left="480" w:hanging="480" w:hangingChars="200"/>
        <w:rPr>
          <w:rFonts w:hint="eastAsia"/>
        </w:rPr>
      </w:pPr>
      <w:r>
        <w:rPr>
          <w:rFonts w:hint="eastAsia" w:ascii="Times New Roman" w:hAnsi="Times New Roman"/>
        </w:rPr>
        <w:t>3</w:t>
      </w:r>
      <w:r>
        <w:rPr>
          <w:rFonts w:hint="eastAsia"/>
        </w:rPr>
        <w:t xml:space="preserve">. </w:t>
      </w:r>
      <w:r>
        <w:t xml:space="preserve"> </w:t>
      </w:r>
      <w:r>
        <w:rPr>
          <w:rFonts w:hint="eastAsia"/>
        </w:rPr>
        <w:t>下列法律文书中，当事人对其不服应当向作出法律文书法院的上一级法院申请复议的是（          ）</w:t>
      </w:r>
    </w:p>
    <w:p w14:paraId="624C6586">
      <w:pPr>
        <w:pStyle w:val="2"/>
        <w:tabs>
          <w:tab w:val="left" w:pos="315"/>
          <w:tab w:val="left" w:pos="336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A．</w:t>
      </w:r>
      <w:r>
        <w:rPr>
          <w:rFonts w:hint="eastAsia"/>
        </w:rPr>
        <w:t xml:space="preserve">法院依申请作出的保全裁定书 </w:t>
      </w:r>
    </w:p>
    <w:p w14:paraId="27DFBD6B">
      <w:pPr>
        <w:pStyle w:val="2"/>
        <w:tabs>
          <w:tab w:val="left" w:pos="315"/>
          <w:tab w:val="left" w:pos="336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B．</w:t>
      </w:r>
      <w:r>
        <w:rPr>
          <w:rFonts w:hint="eastAsia"/>
        </w:rPr>
        <w:t>驳回被告管辖权异议的裁定书 </w:t>
      </w:r>
    </w:p>
    <w:p w14:paraId="4D726F63">
      <w:pPr>
        <w:pStyle w:val="2"/>
        <w:tabs>
          <w:tab w:val="left" w:pos="315"/>
          <w:tab w:val="left" w:pos="336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C．</w:t>
      </w:r>
      <w:r>
        <w:rPr>
          <w:rFonts w:hint="eastAsia"/>
        </w:rPr>
        <w:t>法院对被告作出的拘留决定书</w:t>
      </w:r>
    </w:p>
    <w:p w14:paraId="3A2807AD">
      <w:pPr>
        <w:pStyle w:val="2"/>
        <w:tabs>
          <w:tab w:val="left" w:pos="315"/>
          <w:tab w:val="left" w:pos="3360"/>
        </w:tabs>
        <w:adjustRightInd w:val="0"/>
        <w:spacing w:before="0" w:beforeAutospacing="0" w:after="0" w:afterAutospacing="0" w:line="360" w:lineRule="auto"/>
        <w:ind w:left="239" w:leftChars="114" w:firstLine="240" w:firstLineChars="100"/>
        <w:rPr>
          <w:rFonts w:hint="eastAsia"/>
        </w:rPr>
      </w:pPr>
      <w:r>
        <w:rPr>
          <w:rFonts w:hint="eastAsia" w:ascii="Times New Roman" w:hAnsi="Times New Roman"/>
        </w:rPr>
        <w:t>D．</w:t>
      </w:r>
      <w:r>
        <w:rPr>
          <w:rFonts w:hint="eastAsia"/>
        </w:rPr>
        <w:t>驳回当事人回避申请的决定书</w:t>
      </w:r>
    </w:p>
    <w:p w14:paraId="2CBB421A">
      <w:pPr>
        <w:pStyle w:val="2"/>
        <w:tabs>
          <w:tab w:val="left" w:pos="315"/>
          <w:tab w:val="left" w:pos="3360"/>
        </w:tabs>
        <w:adjustRightInd w:val="0"/>
        <w:spacing w:before="0" w:beforeAutospacing="0" w:after="0" w:afterAutospacing="0" w:line="360" w:lineRule="auto"/>
        <w:ind w:left="480" w:hanging="480" w:hangingChars="200"/>
        <w:rPr>
          <w:rFonts w:hint="eastAsia"/>
        </w:rPr>
      </w:pPr>
      <w:r>
        <w:rPr>
          <w:rFonts w:hint="eastAsia" w:ascii="Times New Roman" w:hAnsi="Times New Roman"/>
        </w:rPr>
        <w:t>4.</w:t>
      </w:r>
      <w:r>
        <w:rPr>
          <w:rFonts w:hint="eastAsia"/>
        </w:rPr>
        <w:t xml:space="preserve"> </w:t>
      </w:r>
      <w:r>
        <w:t xml:space="preserve"> </w:t>
      </w:r>
      <w:r>
        <w:rPr>
          <w:rFonts w:hint="eastAsia"/>
        </w:rPr>
        <w:t>孙志毅与吴筱雪发生房屋买卖合同纠纷诉至人民法院。在审理过程中，孙志毅因脑溢血发作突然死亡，留下妻子陈瑶敏和儿子孙文辉。此时，法院的正确处理措施是</w:t>
      </w:r>
      <w:r>
        <w:rPr>
          <w:rFonts w:hint="eastAsia" w:ascii="Times New Roman" w:hAnsi="Times New Roman"/>
        </w:rPr>
        <w:t>（        ）</w:t>
      </w:r>
    </w:p>
    <w:p w14:paraId="26E3B983">
      <w:pPr>
        <w:pStyle w:val="2"/>
        <w:tabs>
          <w:tab w:val="left" w:pos="315"/>
          <w:tab w:val="left" w:pos="3360"/>
        </w:tabs>
        <w:adjustRightInd w:val="0"/>
        <w:spacing w:before="0" w:beforeAutospacing="0" w:after="0" w:afterAutospacing="0" w:line="360" w:lineRule="auto"/>
        <w:ind w:firstLine="480" w:firstLineChars="200"/>
        <w:rPr>
          <w:rFonts w:ascii="Times New Roman" w:hAnsi="Times New Roman"/>
        </w:rPr>
      </w:pPr>
      <w:r>
        <w:rPr>
          <w:rFonts w:hint="eastAsia" w:ascii="Times New Roman" w:hAnsi="Times New Roman"/>
        </w:rPr>
        <w:t>A．裁定中止诉讼</w:t>
      </w:r>
    </w:p>
    <w:p w14:paraId="095096CF">
      <w:pPr>
        <w:pStyle w:val="2"/>
        <w:tabs>
          <w:tab w:val="left" w:pos="315"/>
          <w:tab w:val="left" w:pos="3360"/>
        </w:tabs>
        <w:adjustRightInd w:val="0"/>
        <w:spacing w:before="0" w:beforeAutospacing="0" w:after="0" w:afterAutospacing="0" w:line="360" w:lineRule="auto"/>
        <w:ind w:left="239" w:leftChars="114" w:firstLine="240" w:firstLineChars="100"/>
        <w:rPr>
          <w:rFonts w:ascii="Times New Roman" w:hAnsi="Times New Roman"/>
        </w:rPr>
      </w:pPr>
      <w:r>
        <w:rPr>
          <w:rFonts w:hint="eastAsia" w:ascii="Times New Roman" w:hAnsi="Times New Roman"/>
        </w:rPr>
        <w:t>B．裁定终结诉讼</w:t>
      </w:r>
    </w:p>
    <w:p w14:paraId="73B629DC">
      <w:pPr>
        <w:pStyle w:val="2"/>
        <w:tabs>
          <w:tab w:val="left" w:pos="315"/>
          <w:tab w:val="left" w:pos="3360"/>
        </w:tabs>
        <w:adjustRightInd w:val="0"/>
        <w:spacing w:before="0" w:beforeAutospacing="0" w:after="0" w:afterAutospacing="0" w:line="360" w:lineRule="auto"/>
        <w:ind w:left="239" w:leftChars="114" w:firstLine="240" w:firstLineChars="100"/>
        <w:rPr>
          <w:rFonts w:ascii="Times New Roman" w:hAnsi="Times New Roman"/>
        </w:rPr>
      </w:pPr>
      <w:r>
        <w:rPr>
          <w:rFonts w:hint="eastAsia" w:ascii="Times New Roman" w:hAnsi="Times New Roman"/>
        </w:rPr>
        <w:t>C．决定延期审理</w:t>
      </w:r>
    </w:p>
    <w:p w14:paraId="2E70D2A3">
      <w:pPr>
        <w:pStyle w:val="2"/>
        <w:tabs>
          <w:tab w:val="left" w:pos="315"/>
          <w:tab w:val="left" w:pos="3360"/>
        </w:tabs>
        <w:adjustRightInd w:val="0"/>
        <w:spacing w:before="0" w:beforeAutospacing="0" w:after="0" w:afterAutospacing="0" w:line="360" w:lineRule="auto"/>
        <w:ind w:left="239" w:leftChars="114" w:firstLine="240" w:firstLineChars="100"/>
        <w:rPr>
          <w:rFonts w:ascii="Times New Roman" w:hAnsi="Times New Roman"/>
        </w:rPr>
      </w:pPr>
      <w:r>
        <w:rPr>
          <w:rFonts w:hint="eastAsia" w:ascii="Times New Roman" w:hAnsi="Times New Roman"/>
        </w:rPr>
        <w:t>D．要求重新起诉</w:t>
      </w:r>
    </w:p>
    <w:p w14:paraId="394D787A">
      <w:pPr>
        <w:pStyle w:val="2"/>
        <w:tabs>
          <w:tab w:val="left" w:pos="315"/>
          <w:tab w:val="left" w:pos="3360"/>
        </w:tabs>
        <w:adjustRightInd w:val="0"/>
        <w:spacing w:before="0" w:beforeAutospacing="0" w:after="0" w:afterAutospacing="0" w:line="360" w:lineRule="auto"/>
        <w:ind w:left="480" w:hanging="480" w:hangingChars="200"/>
        <w:rPr>
          <w:rFonts w:hint="eastAsia"/>
        </w:rPr>
      </w:pPr>
      <w:r>
        <w:rPr>
          <w:rFonts w:hint="eastAsia" w:ascii="Times New Roman" w:hAnsi="Times New Roman"/>
        </w:rPr>
        <w:t>5</w:t>
      </w:r>
      <w:r>
        <w:rPr>
          <w:rFonts w:hint="eastAsia"/>
        </w:rPr>
        <w:t xml:space="preserve">. </w:t>
      </w:r>
      <w:r>
        <w:t xml:space="preserve"> </w:t>
      </w:r>
      <w:bookmarkStart w:id="0" w:name="_Hlk199614600"/>
      <w:r>
        <w:rPr>
          <w:rFonts w:hint="eastAsia"/>
        </w:rPr>
        <w:t>周某和刘某</w:t>
      </w:r>
      <w:bookmarkEnd w:id="0"/>
      <w:r>
        <w:rPr>
          <w:rFonts w:hint="eastAsia"/>
        </w:rPr>
        <w:t>均为杭州市西湖区人，双方在钱塘区登记结婚并居住在钱塘区。结婚两年后，周某和刘某因犯罪被判处有期徒刑三年，双方均在临平区监狱服刑，两年后，周某向</w:t>
      </w:r>
      <w:bookmarkStart w:id="1" w:name="_Hlk199615856"/>
      <w:r>
        <w:rPr>
          <w:rFonts w:hint="eastAsia"/>
        </w:rPr>
        <w:t>杭州市西湖区人民法院</w:t>
      </w:r>
      <w:bookmarkEnd w:id="1"/>
      <w:r>
        <w:rPr>
          <w:rFonts w:hint="eastAsia"/>
        </w:rPr>
        <w:t>起诉离婚。杭州市西湖区人民法院受理案件后发现对案件无管辖权，而将案件移送给杭州市钱塘区人民法院。下列关于本案的表述，正确的是（          ）</w:t>
      </w:r>
    </w:p>
    <w:p w14:paraId="6C13C22D">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A．</w:t>
      </w:r>
      <w:r>
        <w:rPr>
          <w:rFonts w:hint="eastAsia"/>
        </w:rPr>
        <w:t>杭州市西湖区人民法院对本案享有管辖权</w:t>
      </w:r>
    </w:p>
    <w:p w14:paraId="4D0D1ABA">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B．</w:t>
      </w:r>
      <w:r>
        <w:rPr>
          <w:rFonts w:hint="eastAsia"/>
        </w:rPr>
        <w:t>杭州市钱塘区人民法院对本案享有管辖权</w:t>
      </w:r>
    </w:p>
    <w:p w14:paraId="0AC73E72">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C．</w:t>
      </w:r>
      <w:r>
        <w:rPr>
          <w:rFonts w:hint="eastAsia"/>
        </w:rPr>
        <w:t>杭州市临平区人民法院对本案享有管辖权</w:t>
      </w:r>
    </w:p>
    <w:p w14:paraId="18B34BF8">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D．</w:t>
      </w:r>
      <w:r>
        <w:rPr>
          <w:rFonts w:hint="eastAsia"/>
        </w:rPr>
        <w:t>钱塘区法院应当将案件移送给临平区法院</w:t>
      </w:r>
    </w:p>
    <w:p w14:paraId="3176378B">
      <w:pPr>
        <w:pStyle w:val="2"/>
        <w:tabs>
          <w:tab w:val="left" w:pos="315"/>
          <w:tab w:val="left" w:pos="3360"/>
        </w:tabs>
        <w:adjustRightInd w:val="0"/>
        <w:spacing w:before="0" w:beforeAutospacing="0" w:after="0" w:afterAutospacing="0" w:line="360" w:lineRule="auto"/>
        <w:ind w:left="360" w:hanging="360" w:hangingChars="150"/>
        <w:rPr>
          <w:rFonts w:hint="eastAsia"/>
        </w:rPr>
      </w:pPr>
      <w:r>
        <w:rPr>
          <w:rFonts w:hint="eastAsia" w:ascii="Times New Roman" w:hAnsi="Times New Roman"/>
        </w:rPr>
        <w:t>6</w:t>
      </w:r>
      <w:r>
        <w:rPr>
          <w:rFonts w:hint="eastAsia"/>
        </w:rPr>
        <w:t>. 某信息公司为某科技公司开发软件后未收到合同约定款项，为此向依法设立的华泰调解中心提出调解申请。在华泰调解中心的协助下，双方达成调解协议并向法院申请司法确认。下列有关本案的表述，正确的是（         ）</w:t>
      </w:r>
    </w:p>
    <w:p w14:paraId="1F3DB028">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A．</w:t>
      </w:r>
      <w:bookmarkStart w:id="2" w:name="_Hlk199619243"/>
      <w:r>
        <w:rPr>
          <w:rFonts w:hint="eastAsia"/>
        </w:rPr>
        <w:t>双方当事人只能向华泰调解中心所在地基层人民法院申请司法确认</w:t>
      </w:r>
      <w:bookmarkEnd w:id="2"/>
    </w:p>
    <w:p w14:paraId="1C9BAE26">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B</w:t>
      </w:r>
      <w:r>
        <w:rPr>
          <w:rFonts w:hint="eastAsia" w:ascii="Times New Roman" w:hAnsi="Times New Roman"/>
        </w:rPr>
        <w:t>．</w:t>
      </w:r>
      <w:r>
        <w:rPr>
          <w:rFonts w:hint="eastAsia"/>
        </w:rPr>
        <w:t>双方当事人应在调解协议生效之日起六十日内向法院申请司法确认</w:t>
      </w:r>
    </w:p>
    <w:p w14:paraId="1B74A373">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C．</w:t>
      </w:r>
      <w:r>
        <w:rPr>
          <w:rFonts w:hint="eastAsia"/>
        </w:rPr>
        <w:t>华泰调解中心作出的调解协议经过确认有效后</w:t>
      </w:r>
      <w:bookmarkStart w:id="3" w:name="_Hlk199619005"/>
      <w:r>
        <w:rPr>
          <w:rFonts w:hint="eastAsia"/>
        </w:rPr>
        <w:t>产生强制执行的效力</w:t>
      </w:r>
      <w:bookmarkEnd w:id="3"/>
      <w:r>
        <w:rPr>
          <w:rFonts w:hint="eastAsia"/>
        </w:rPr>
        <w:t xml:space="preserve">                    </w:t>
      </w:r>
    </w:p>
    <w:p w14:paraId="64AF3CBB">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D</w:t>
      </w:r>
      <w:r>
        <w:rPr>
          <w:rFonts w:hint="eastAsia"/>
        </w:rPr>
        <w:t>．法院经过审查后确认调解协议有效性的司法确认裁定书具有执行力</w:t>
      </w:r>
    </w:p>
    <w:p w14:paraId="31B9B67D">
      <w:pPr>
        <w:pStyle w:val="2"/>
        <w:tabs>
          <w:tab w:val="left" w:pos="315"/>
          <w:tab w:val="left" w:pos="420"/>
          <w:tab w:val="left" w:pos="3360"/>
        </w:tabs>
        <w:adjustRightInd w:val="0"/>
        <w:spacing w:before="0" w:beforeAutospacing="0" w:after="0" w:afterAutospacing="0" w:line="360" w:lineRule="auto"/>
        <w:rPr>
          <w:rFonts w:hint="eastAsia"/>
        </w:rPr>
      </w:pPr>
      <w:r>
        <w:rPr>
          <w:rFonts w:hint="eastAsia" w:ascii="Times New Roman" w:hAnsi="Times New Roman"/>
        </w:rPr>
        <w:t>7</w:t>
      </w:r>
      <w:r>
        <w:rPr>
          <w:rFonts w:hint="eastAsia"/>
        </w:rPr>
        <w:t>.</w:t>
      </w:r>
      <w:r>
        <w:t xml:space="preserve"> </w:t>
      </w:r>
      <w:r>
        <w:rPr>
          <w:rFonts w:hint="eastAsia"/>
        </w:rPr>
        <w:t>下列案件中，可以适用法院调解的案件有（          ）</w:t>
      </w:r>
    </w:p>
    <w:p w14:paraId="3C9AAA1C">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A</w:t>
      </w:r>
      <w:bookmarkStart w:id="4" w:name="_Hlk199619676"/>
      <w:r>
        <w:rPr>
          <w:rFonts w:hint="eastAsia" w:ascii="Times New Roman" w:hAnsi="Times New Roman"/>
        </w:rPr>
        <w:t>．</w:t>
      </w:r>
      <w:bookmarkEnd w:id="4"/>
      <w:r>
        <w:rPr>
          <w:rFonts w:hint="eastAsia" w:ascii="Times New Roman" w:hAnsi="Times New Roman"/>
        </w:rPr>
        <w:t>黄明亮申请法院向其债务人吕晓明发出支付令的案件</w:t>
      </w:r>
      <w:r>
        <w:rPr>
          <w:rFonts w:hint="eastAsia"/>
        </w:rPr>
        <w:t xml:space="preserve">                        </w:t>
      </w:r>
    </w:p>
    <w:p w14:paraId="147CBFB4">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bookmarkStart w:id="5" w:name="_Hlk199619757"/>
      <w:r>
        <w:rPr>
          <w:rFonts w:hint="eastAsia" w:ascii="Times New Roman" w:hAnsi="Times New Roman"/>
        </w:rPr>
        <w:t>B．冯越申请确认丈夫金海为限制民事行为能力人的案件</w:t>
      </w:r>
    </w:p>
    <w:bookmarkEnd w:id="5"/>
    <w:p w14:paraId="10D31377">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C．</w:t>
      </w:r>
      <w:r>
        <w:rPr>
          <w:rFonts w:hint="eastAsia"/>
        </w:rPr>
        <w:t>朱建国和宇腾科技公司之间发生的劳务合同纠纷案件</w:t>
      </w:r>
    </w:p>
    <w:p w14:paraId="0C9E831E">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D．潘美请求确认刘昕和潘美之间的收养关系无效的案件</w:t>
      </w:r>
    </w:p>
    <w:p w14:paraId="3818C2EE">
      <w:pPr>
        <w:pStyle w:val="2"/>
        <w:tabs>
          <w:tab w:val="left" w:pos="315"/>
          <w:tab w:val="left" w:pos="3360"/>
        </w:tabs>
        <w:adjustRightInd w:val="0"/>
        <w:spacing w:before="0" w:beforeAutospacing="0" w:after="0" w:afterAutospacing="0" w:line="360" w:lineRule="auto"/>
        <w:ind w:left="240" w:hanging="240" w:hangingChars="100"/>
        <w:rPr>
          <w:rFonts w:hint="eastAsia"/>
        </w:rPr>
      </w:pPr>
      <w:r>
        <w:rPr>
          <w:rFonts w:hint="eastAsia" w:ascii="Times New Roman" w:hAnsi="Times New Roman"/>
        </w:rPr>
        <w:t>8</w:t>
      </w:r>
      <w:r>
        <w:rPr>
          <w:rFonts w:hint="eastAsia"/>
        </w:rPr>
        <w:t>. 下列民事案件中，法院应当裁定不予受理的是（         ）</w:t>
      </w:r>
    </w:p>
    <w:p w14:paraId="28FB04AC">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A</w:t>
      </w:r>
      <w:bookmarkStart w:id="6" w:name="_Hlk199619716"/>
      <w:r>
        <w:rPr>
          <w:rFonts w:hint="eastAsia" w:ascii="Times New Roman" w:hAnsi="Times New Roman"/>
        </w:rPr>
        <w:t>．</w:t>
      </w:r>
      <w:bookmarkEnd w:id="6"/>
      <w:r>
        <w:rPr>
          <w:rFonts w:hint="eastAsia"/>
        </w:rPr>
        <w:t>宋某在超过诉讼时效之后起诉要求徐某支付各种赔偿款二十万元</w:t>
      </w:r>
    </w:p>
    <w:p w14:paraId="40EEF6A7">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B．丈夫</w:t>
      </w:r>
      <w:r>
        <w:rPr>
          <w:rFonts w:hint="eastAsia"/>
        </w:rPr>
        <w:t>张海洋在法院判决不准离婚之后半年内以相同理由起诉离婚</w:t>
      </w:r>
    </w:p>
    <w:p w14:paraId="2A79390A">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C</w:t>
      </w:r>
      <w:bookmarkStart w:id="7" w:name="_Hlk199619698"/>
      <w:r>
        <w:rPr>
          <w:rFonts w:hint="eastAsia" w:ascii="Times New Roman" w:hAnsi="Times New Roman"/>
        </w:rPr>
        <w:t>．</w:t>
      </w:r>
      <w:bookmarkEnd w:id="7"/>
      <w:r>
        <w:rPr>
          <w:rFonts w:hint="eastAsia"/>
        </w:rPr>
        <w:t>占某以物价上涨为由再行起诉要求子女将赡养费每月增加一千元</w:t>
      </w:r>
    </w:p>
    <w:p w14:paraId="078DFC58">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D．</w:t>
      </w:r>
      <w:r>
        <w:rPr>
          <w:rFonts w:hint="eastAsia"/>
        </w:rPr>
        <w:t>张某在妻子刘某下落不明后不申请宣告失踪直接向法院起诉离婚</w:t>
      </w:r>
    </w:p>
    <w:p w14:paraId="6D1668EC">
      <w:pPr>
        <w:pStyle w:val="2"/>
        <w:tabs>
          <w:tab w:val="left" w:pos="315"/>
          <w:tab w:val="left" w:pos="3360"/>
        </w:tabs>
        <w:adjustRightInd w:val="0"/>
        <w:spacing w:before="0" w:beforeAutospacing="0" w:after="0" w:afterAutospacing="0" w:line="360" w:lineRule="auto"/>
        <w:ind w:left="480" w:hanging="480" w:hangingChars="200"/>
        <w:rPr>
          <w:rFonts w:hint="eastAsia"/>
        </w:rPr>
      </w:pPr>
      <w:r>
        <w:rPr>
          <w:rFonts w:hint="eastAsia" w:ascii="Times New Roman" w:hAnsi="Times New Roman"/>
        </w:rPr>
        <w:t>9</w:t>
      </w:r>
      <w:r>
        <w:rPr>
          <w:rFonts w:hint="eastAsia"/>
        </w:rPr>
        <w:t>.</w:t>
      </w:r>
      <w:r>
        <w:t xml:space="preserve">  </w:t>
      </w:r>
      <w:r>
        <w:rPr>
          <w:rFonts w:hint="eastAsia" w:cs="宋体"/>
          <w:color w:val="000000"/>
        </w:rPr>
        <w:t>原告郑某起诉倪某侵犯其商标权。在诉讼过程中，倪某未予到庭参加诉讼，审判长陈某未经依法传票传唤被告倪某直接进行缺席判决。倪某提出上诉后，二审法院以一审程序存在严重程序违法为由发回原审法院重审。下列有关本案的表述，正确的是</w:t>
      </w:r>
      <w:r>
        <w:rPr>
          <w:rFonts w:hint="eastAsia"/>
        </w:rPr>
        <w:t>（          ）</w:t>
      </w:r>
    </w:p>
    <w:p w14:paraId="0FC42557">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A．</w:t>
      </w:r>
      <w:r>
        <w:rPr>
          <w:rFonts w:hint="eastAsia"/>
        </w:rPr>
        <w:t>二审法院应以裁定的形式撤销原判决并发回原审法院重审</w:t>
      </w:r>
    </w:p>
    <w:p w14:paraId="72D93AF7">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B．</w:t>
      </w:r>
      <w:r>
        <w:rPr>
          <w:rFonts w:hint="eastAsia"/>
        </w:rPr>
        <w:t>原审法院以人员不足为由安排陈某再次担任案件的审判长</w:t>
      </w:r>
    </w:p>
    <w:p w14:paraId="12B8170F">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C</w:t>
      </w:r>
      <w:r>
        <w:rPr>
          <w:rFonts w:hint="eastAsia"/>
        </w:rPr>
        <w:t>．当事人对原审法院重审后作出的新判决不能再次提起上诉</w:t>
      </w:r>
    </w:p>
    <w:p w14:paraId="3B5961B5">
      <w:pPr>
        <w:pStyle w:val="2"/>
        <w:tabs>
          <w:tab w:val="left" w:pos="315"/>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D．二审法院可以一审程序严重违法为由再次将案件发回重审</w:t>
      </w:r>
    </w:p>
    <w:p w14:paraId="6F062CA0">
      <w:pPr>
        <w:pStyle w:val="2"/>
        <w:tabs>
          <w:tab w:val="left" w:pos="315"/>
          <w:tab w:val="left" w:pos="3360"/>
        </w:tabs>
        <w:adjustRightInd w:val="0"/>
        <w:spacing w:before="0" w:beforeAutospacing="0" w:after="0" w:afterAutospacing="0" w:line="360" w:lineRule="auto"/>
        <w:ind w:left="480" w:hanging="480" w:hangingChars="200"/>
        <w:rPr>
          <w:rFonts w:hint="eastAsia"/>
        </w:rPr>
      </w:pPr>
      <w:r>
        <w:rPr>
          <w:rFonts w:hint="eastAsia" w:ascii="Times New Roman" w:hAnsi="Times New Roman"/>
        </w:rPr>
        <w:t>10</w:t>
      </w:r>
      <w:r>
        <w:rPr>
          <w:rFonts w:hint="eastAsia"/>
        </w:rPr>
        <w:t>.</w:t>
      </w:r>
      <w:r>
        <w:t xml:space="preserve"> </w:t>
      </w:r>
      <w:bookmarkStart w:id="8" w:name="_Hlk199604472"/>
      <w:r>
        <w:rPr>
          <w:rFonts w:hint="eastAsia"/>
        </w:rPr>
        <w:t>杨某某</w:t>
      </w:r>
      <w:bookmarkEnd w:id="8"/>
      <w:r>
        <w:rPr>
          <w:rFonts w:hint="eastAsia"/>
        </w:rPr>
        <w:t>系聋哑孤寡老人，选择由与其无血缘关系而祖辈关系融洽的顾某甲、顾某乙、顾某丙照顾其晚年生活。顾某甲、顾某乙、顾某丙对杨某某生前的饮食、医疗等极尽照顾，生活上扶助较多，并在杨某某死亡后，将杨某某与其父母一并安葬，按照当地风俗进行祭拜。杨某某死亡后遗留房屋一处，没有继承人，顾某甲、顾某乙、顾某丙申请指定杨某某的遗产管理人。下列有关本案的表述，错误的是（       ）</w:t>
      </w:r>
    </w:p>
    <w:p w14:paraId="5AEAE817">
      <w:pPr>
        <w:pStyle w:val="2"/>
        <w:tabs>
          <w:tab w:val="left" w:pos="552"/>
          <w:tab w:val="left" w:pos="3360"/>
        </w:tabs>
        <w:adjustRightInd w:val="0"/>
        <w:spacing w:before="0" w:beforeAutospacing="0" w:after="0" w:afterAutospacing="0" w:line="360" w:lineRule="auto"/>
        <w:rPr>
          <w:rFonts w:hint="eastAsia"/>
        </w:rPr>
      </w:pPr>
      <w:r>
        <w:rPr>
          <w:rFonts w:hint="eastAsia"/>
        </w:rPr>
        <w:tab/>
      </w:r>
      <w:r>
        <w:rPr>
          <w:rFonts w:hint="eastAsia" w:ascii="Times New Roman" w:hAnsi="Times New Roman"/>
        </w:rPr>
        <w:t>A</w:t>
      </w:r>
      <w:r>
        <w:rPr>
          <w:rFonts w:hint="eastAsia"/>
        </w:rPr>
        <w:t>．三人有权作为利害关系人申请指定遗产管理人</w:t>
      </w:r>
    </w:p>
    <w:p w14:paraId="00D69ED7">
      <w:pPr>
        <w:pStyle w:val="2"/>
        <w:tabs>
          <w:tab w:val="left" w:pos="552"/>
          <w:tab w:val="left" w:pos="3360"/>
        </w:tabs>
        <w:adjustRightInd w:val="0"/>
        <w:spacing w:before="0" w:beforeAutospacing="0" w:after="0" w:afterAutospacing="0" w:line="360" w:lineRule="auto"/>
        <w:rPr>
          <w:rFonts w:hint="eastAsia"/>
        </w:rPr>
      </w:pPr>
      <w:r>
        <w:rPr>
          <w:rFonts w:hint="eastAsia"/>
        </w:rPr>
        <w:tab/>
      </w:r>
      <w:r>
        <w:rPr>
          <w:rFonts w:hint="eastAsia" w:ascii="Times New Roman" w:hAnsi="Times New Roman"/>
        </w:rPr>
        <w:t>B</w:t>
      </w:r>
      <w:r>
        <w:rPr>
          <w:rFonts w:hint="eastAsia"/>
        </w:rPr>
        <w:t>．基层法院应当采用裁定的形式指定遗产管理人</w:t>
      </w:r>
    </w:p>
    <w:p w14:paraId="44984179">
      <w:pPr>
        <w:pStyle w:val="2"/>
        <w:tabs>
          <w:tab w:val="left" w:pos="552"/>
          <w:tab w:val="left" w:pos="3360"/>
        </w:tabs>
        <w:adjustRightInd w:val="0"/>
        <w:spacing w:before="0" w:beforeAutospacing="0" w:after="0" w:afterAutospacing="0" w:line="360" w:lineRule="auto"/>
        <w:rPr>
          <w:rFonts w:hint="eastAsia"/>
        </w:rPr>
      </w:pPr>
      <w:r>
        <w:rPr>
          <w:rFonts w:hint="eastAsia"/>
        </w:rPr>
        <w:tab/>
      </w:r>
      <w:r>
        <w:rPr>
          <w:rFonts w:hint="eastAsia" w:ascii="Times New Roman" w:hAnsi="Times New Roman"/>
        </w:rPr>
        <w:t>C</w:t>
      </w:r>
      <w:r>
        <w:rPr>
          <w:rFonts w:hint="eastAsia"/>
        </w:rPr>
        <w:t>．基层法院在审理过程中有权调查核实相关事实</w:t>
      </w:r>
    </w:p>
    <w:p w14:paraId="20148E9C">
      <w:pPr>
        <w:pStyle w:val="2"/>
        <w:tabs>
          <w:tab w:val="left" w:pos="552"/>
          <w:tab w:val="left" w:pos="3360"/>
        </w:tabs>
        <w:adjustRightInd w:val="0"/>
        <w:spacing w:before="0" w:beforeAutospacing="0" w:after="0" w:afterAutospacing="0" w:line="360" w:lineRule="auto"/>
        <w:rPr>
          <w:rFonts w:hint="eastAsia"/>
        </w:rPr>
      </w:pPr>
      <w:r>
        <w:rPr>
          <w:rFonts w:hint="eastAsia"/>
        </w:rPr>
        <w:tab/>
      </w:r>
      <w:r>
        <w:rPr>
          <w:rFonts w:hint="eastAsia" w:ascii="Times New Roman" w:hAnsi="Times New Roman"/>
        </w:rPr>
        <w:t>D</w:t>
      </w:r>
      <w:r>
        <w:rPr>
          <w:rFonts w:hint="eastAsia"/>
        </w:rPr>
        <w:t>．三人在遗产管理人死亡之后有权申请另行指定</w:t>
      </w:r>
    </w:p>
    <w:p w14:paraId="718A7C1B">
      <w:pPr>
        <w:spacing w:line="360" w:lineRule="auto"/>
        <w:rPr>
          <w:rFonts w:hint="eastAsia" w:ascii="黑体" w:hAnsi="黑体" w:eastAsia="黑体" w:cs="黑体"/>
          <w:sz w:val="24"/>
        </w:rPr>
      </w:pPr>
      <w:r>
        <w:rPr>
          <w:rFonts w:hint="eastAsia" w:ascii="黑体" w:hAnsi="黑体" w:eastAsia="黑体" w:cs="黑体"/>
          <w:sz w:val="24"/>
        </w:rPr>
        <w:t>二、多项选择题（每题有两个或者两个以上的正确答案。）</w:t>
      </w:r>
    </w:p>
    <w:p w14:paraId="455542E6">
      <w:pPr>
        <w:pStyle w:val="2"/>
        <w:tabs>
          <w:tab w:val="left" w:pos="315"/>
          <w:tab w:val="left" w:pos="420"/>
          <w:tab w:val="left" w:pos="3360"/>
        </w:tabs>
        <w:adjustRightInd w:val="0"/>
        <w:spacing w:before="0" w:beforeAutospacing="0" w:after="0" w:afterAutospacing="0" w:line="360" w:lineRule="auto"/>
        <w:rPr>
          <w:rFonts w:hint="eastAsia"/>
        </w:rPr>
      </w:pPr>
      <w:r>
        <w:rPr>
          <w:rFonts w:hint="eastAsia" w:ascii="Times New Roman" w:hAnsi="Times New Roman"/>
        </w:rPr>
        <w:t>11</w:t>
      </w:r>
      <w:r>
        <w:rPr>
          <w:rFonts w:hint="eastAsia"/>
        </w:rPr>
        <w:t>. 下列民事案件中，被告住所地法院享有管辖权的有（       ）</w:t>
      </w:r>
    </w:p>
    <w:p w14:paraId="72F45CA0">
      <w:pPr>
        <w:pStyle w:val="2"/>
        <w:tabs>
          <w:tab w:val="left" w:pos="315"/>
          <w:tab w:val="left" w:pos="420"/>
          <w:tab w:val="left" w:pos="3360"/>
        </w:tabs>
        <w:adjustRightInd w:val="0"/>
        <w:spacing w:before="0" w:beforeAutospacing="0" w:after="0" w:afterAutospacing="0" w:line="360" w:lineRule="auto"/>
        <w:ind w:firstLine="480" w:firstLineChars="200"/>
        <w:rPr>
          <w:rFonts w:ascii="Times New Roman" w:hAnsi="Times New Roman"/>
        </w:rPr>
      </w:pPr>
      <w:bookmarkStart w:id="9" w:name="_Hlk168764074"/>
      <w:r>
        <w:rPr>
          <w:rFonts w:hint="eastAsia" w:ascii="Times New Roman" w:hAnsi="Times New Roman"/>
        </w:rPr>
        <w:t xml:space="preserve">A. </w:t>
      </w:r>
      <w:r>
        <w:rPr>
          <w:rFonts w:ascii="Times New Roman" w:hAnsi="Times New Roman"/>
        </w:rPr>
        <w:t xml:space="preserve"> </w:t>
      </w:r>
      <w:r>
        <w:rPr>
          <w:rFonts w:hint="eastAsia" w:ascii="Times New Roman" w:hAnsi="Times New Roman"/>
        </w:rPr>
        <w:t>胖东来商贸集团公司对网络博主段某提起的名誉侵权纠纷</w:t>
      </w:r>
    </w:p>
    <w:p w14:paraId="2392559F">
      <w:pPr>
        <w:pStyle w:val="2"/>
        <w:tabs>
          <w:tab w:val="left" w:pos="315"/>
          <w:tab w:val="left" w:pos="420"/>
          <w:tab w:val="left" w:pos="3360"/>
        </w:tabs>
        <w:adjustRightInd w:val="0"/>
        <w:spacing w:before="0" w:beforeAutospacing="0" w:after="0" w:afterAutospacing="0" w:line="360" w:lineRule="auto"/>
        <w:ind w:firstLine="480" w:firstLineChars="200"/>
        <w:rPr>
          <w:rFonts w:ascii="Times New Roman" w:hAnsi="Times New Roman"/>
        </w:rPr>
      </w:pPr>
      <w:r>
        <w:rPr>
          <w:rFonts w:hint="eastAsia" w:ascii="Times New Roman" w:hAnsi="Times New Roman"/>
        </w:rPr>
        <w:t xml:space="preserve">B. </w:t>
      </w:r>
      <w:r>
        <w:rPr>
          <w:rFonts w:ascii="Times New Roman" w:hAnsi="Times New Roman"/>
        </w:rPr>
        <w:t xml:space="preserve"> </w:t>
      </w:r>
      <w:r>
        <w:rPr>
          <w:rFonts w:hint="eastAsia" w:ascii="Times New Roman" w:hAnsi="Times New Roman"/>
        </w:rPr>
        <w:t>张某向法院提起的股东郑某损害公司债权人利益责任纠纷</w:t>
      </w:r>
    </w:p>
    <w:p w14:paraId="3FEB7307">
      <w:pPr>
        <w:pStyle w:val="2"/>
        <w:tabs>
          <w:tab w:val="left" w:pos="315"/>
          <w:tab w:val="left" w:pos="420"/>
          <w:tab w:val="left" w:pos="3360"/>
        </w:tabs>
        <w:adjustRightInd w:val="0"/>
        <w:spacing w:before="0" w:beforeAutospacing="0" w:after="0" w:afterAutospacing="0" w:line="360" w:lineRule="auto"/>
        <w:ind w:firstLine="480" w:firstLineChars="200"/>
        <w:rPr>
          <w:rFonts w:ascii="Times New Roman" w:hAnsi="Times New Roman"/>
        </w:rPr>
      </w:pPr>
      <w:r>
        <w:rPr>
          <w:rFonts w:hint="eastAsia" w:ascii="Times New Roman" w:hAnsi="Times New Roman"/>
        </w:rPr>
        <w:t xml:space="preserve">C. </w:t>
      </w:r>
      <w:r>
        <w:rPr>
          <w:rFonts w:ascii="Times New Roman" w:hAnsi="Times New Roman"/>
        </w:rPr>
        <w:t xml:space="preserve"> </w:t>
      </w:r>
      <w:r>
        <w:rPr>
          <w:rFonts w:hint="eastAsia" w:ascii="Times New Roman" w:hAnsi="Times New Roman"/>
        </w:rPr>
        <w:t>丈夫苏某到杭州务工一年之后未离乡的谌某提起离婚之诉</w:t>
      </w:r>
    </w:p>
    <w:p w14:paraId="46A8AB36">
      <w:pPr>
        <w:pStyle w:val="2"/>
        <w:tabs>
          <w:tab w:val="left" w:pos="315"/>
          <w:tab w:val="left" w:pos="420"/>
          <w:tab w:val="left" w:pos="3360"/>
        </w:tabs>
        <w:adjustRightInd w:val="0"/>
        <w:spacing w:before="0" w:beforeAutospacing="0" w:after="0" w:afterAutospacing="0" w:line="360" w:lineRule="auto"/>
        <w:ind w:firstLine="480" w:firstLineChars="200"/>
        <w:rPr>
          <w:rFonts w:ascii="Times New Roman" w:hAnsi="Times New Roman"/>
        </w:rPr>
      </w:pPr>
      <w:r>
        <w:rPr>
          <w:rFonts w:hint="eastAsia" w:ascii="Times New Roman" w:hAnsi="Times New Roman"/>
        </w:rPr>
        <w:t>D.  甲船舶公司要求乙货运公司及时支付海难救助费用的纠纷</w:t>
      </w:r>
    </w:p>
    <w:bookmarkEnd w:id="9"/>
    <w:p w14:paraId="747CF0A9">
      <w:pPr>
        <w:pStyle w:val="2"/>
        <w:tabs>
          <w:tab w:val="left" w:pos="315"/>
          <w:tab w:val="left" w:pos="420"/>
          <w:tab w:val="left" w:pos="3360"/>
        </w:tabs>
        <w:adjustRightInd w:val="0"/>
        <w:spacing w:before="0" w:beforeAutospacing="0" w:after="0" w:afterAutospacing="0" w:line="360" w:lineRule="auto"/>
        <w:rPr>
          <w:rFonts w:hint="eastAsia"/>
        </w:rPr>
      </w:pPr>
      <w:r>
        <w:rPr>
          <w:rFonts w:hint="eastAsia" w:ascii="Times New Roman" w:hAnsi="Times New Roman"/>
        </w:rPr>
        <w:t>12</w:t>
      </w:r>
      <w:r>
        <w:rPr>
          <w:rFonts w:hint="eastAsia"/>
        </w:rPr>
        <w:t>.</w:t>
      </w:r>
      <w:r>
        <w:t xml:space="preserve"> </w:t>
      </w:r>
      <w:bookmarkStart w:id="10" w:name="_Hlk199600859"/>
      <w:r>
        <w:rPr>
          <w:rFonts w:hint="eastAsia"/>
        </w:rPr>
        <w:t>众多投资者发现科创板上市公司泽达易盛公司“财务报表”中虚增营业收</w:t>
      </w:r>
    </w:p>
    <w:p w14:paraId="3A76CDEB">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rPr>
        <w:t>入、利润，编造重大虚假内容，隐瞒重要事实而向上海金融法院提起代表</w:t>
      </w:r>
    </w:p>
    <w:p w14:paraId="2BC13FB3">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rPr>
        <w:t>人诉讼。中证中小投资者服务中心受部分证券投资者特别授权，向上海金</w:t>
      </w:r>
    </w:p>
    <w:p w14:paraId="4BEBAB43">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rPr>
        <w:t>融法院申请作为特别代表人参加诉讼。下列有关本案的表述，正确的是</w:t>
      </w:r>
      <w:bookmarkEnd w:id="10"/>
    </w:p>
    <w:p w14:paraId="7AD3E400">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rPr>
        <w:t>（        ）</w:t>
      </w:r>
      <w:bookmarkStart w:id="11" w:name="_Hlk168763758"/>
    </w:p>
    <w:p w14:paraId="2DDEDC72">
      <w:pPr>
        <w:pStyle w:val="2"/>
        <w:tabs>
          <w:tab w:val="left" w:pos="315"/>
          <w:tab w:val="left" w:pos="420"/>
          <w:tab w:val="left" w:pos="3360"/>
        </w:tabs>
        <w:adjustRightInd w:val="0"/>
        <w:spacing w:before="0" w:beforeAutospacing="0" w:after="0" w:afterAutospacing="0" w:line="360" w:lineRule="auto"/>
        <w:ind w:firstLine="480" w:firstLineChars="200"/>
        <w:rPr>
          <w:rFonts w:ascii="Times New Roman" w:hAnsi="Times New Roman"/>
        </w:rPr>
      </w:pPr>
      <w:bookmarkStart w:id="12" w:name="_Hlk168764140"/>
      <w:r>
        <w:rPr>
          <w:rFonts w:hint="eastAsia" w:ascii="Times New Roman" w:hAnsi="Times New Roman"/>
        </w:rPr>
        <w:t xml:space="preserve">A. </w:t>
      </w:r>
      <w:r>
        <w:rPr>
          <w:rFonts w:ascii="Times New Roman" w:hAnsi="Times New Roman"/>
        </w:rPr>
        <w:t xml:space="preserve"> </w:t>
      </w:r>
      <w:r>
        <w:rPr>
          <w:rFonts w:hint="eastAsia"/>
        </w:rPr>
        <w:t>特别代表人诉讼采美国集团诉讼的声明加入制</w:t>
      </w:r>
    </w:p>
    <w:p w14:paraId="59BBD269">
      <w:pPr>
        <w:pStyle w:val="2"/>
        <w:tabs>
          <w:tab w:val="left" w:pos="315"/>
          <w:tab w:val="left" w:pos="420"/>
          <w:tab w:val="left" w:pos="3360"/>
        </w:tabs>
        <w:adjustRightInd w:val="0"/>
        <w:spacing w:before="0" w:beforeAutospacing="0" w:after="0" w:afterAutospacing="0" w:line="360" w:lineRule="auto"/>
        <w:ind w:firstLine="480" w:firstLineChars="200"/>
        <w:rPr>
          <w:rFonts w:ascii="Times New Roman" w:hAnsi="Times New Roman"/>
        </w:rPr>
      </w:pPr>
      <w:r>
        <w:rPr>
          <w:rFonts w:hint="eastAsia" w:ascii="Times New Roman" w:hAnsi="Times New Roman"/>
        </w:rPr>
        <w:t xml:space="preserve">B. </w:t>
      </w:r>
      <w:r>
        <w:rPr>
          <w:rFonts w:ascii="Times New Roman" w:hAnsi="Times New Roman"/>
        </w:rPr>
        <w:t xml:space="preserve"> </w:t>
      </w:r>
      <w:r>
        <w:rPr>
          <w:rFonts w:hint="eastAsia"/>
        </w:rPr>
        <w:t>只有在普通共同诉讼才能适用特别代表人诉讼</w:t>
      </w:r>
    </w:p>
    <w:p w14:paraId="1583ED8C">
      <w:pPr>
        <w:pStyle w:val="2"/>
        <w:tabs>
          <w:tab w:val="left" w:pos="315"/>
          <w:tab w:val="left" w:pos="420"/>
          <w:tab w:val="left" w:pos="3360"/>
        </w:tabs>
        <w:adjustRightInd w:val="0"/>
        <w:spacing w:before="0" w:beforeAutospacing="0" w:after="0" w:afterAutospacing="0" w:line="360" w:lineRule="auto"/>
        <w:ind w:firstLine="480" w:firstLineChars="200"/>
        <w:rPr>
          <w:rFonts w:ascii="Times New Roman" w:hAnsi="Times New Roman"/>
        </w:rPr>
      </w:pPr>
      <w:r>
        <w:rPr>
          <w:rFonts w:hint="eastAsia" w:ascii="Times New Roman" w:hAnsi="Times New Roman"/>
        </w:rPr>
        <w:t xml:space="preserve">C. </w:t>
      </w:r>
      <w:r>
        <w:rPr>
          <w:rFonts w:ascii="Times New Roman" w:hAnsi="Times New Roman"/>
        </w:rPr>
        <w:t xml:space="preserve"> </w:t>
      </w:r>
      <w:r>
        <w:rPr>
          <w:rFonts w:hint="eastAsia"/>
        </w:rPr>
        <w:t>特别代表人诉讼所作出的判决产生预决的效力</w:t>
      </w:r>
    </w:p>
    <w:p w14:paraId="013CE0D1">
      <w:pPr>
        <w:pStyle w:val="2"/>
        <w:tabs>
          <w:tab w:val="left" w:pos="315"/>
          <w:tab w:val="left" w:pos="420"/>
          <w:tab w:val="left" w:pos="3360"/>
        </w:tabs>
        <w:adjustRightInd w:val="0"/>
        <w:spacing w:before="0" w:beforeAutospacing="0" w:after="0" w:afterAutospacing="0" w:line="360" w:lineRule="auto"/>
        <w:ind w:firstLine="480" w:firstLineChars="200"/>
        <w:rPr>
          <w:rFonts w:ascii="Times New Roman" w:hAnsi="Times New Roman"/>
        </w:rPr>
      </w:pPr>
      <w:r>
        <w:rPr>
          <w:rFonts w:hint="eastAsia" w:ascii="Times New Roman" w:hAnsi="Times New Roman"/>
        </w:rPr>
        <w:t xml:space="preserve">D. </w:t>
      </w:r>
      <w:r>
        <w:rPr>
          <w:rFonts w:ascii="Times New Roman" w:hAnsi="Times New Roman"/>
        </w:rPr>
        <w:t xml:space="preserve"> </w:t>
      </w:r>
      <w:r>
        <w:rPr>
          <w:rFonts w:hint="eastAsia" w:ascii="Times New Roman" w:hAnsi="Times New Roman"/>
        </w:rPr>
        <w:t>投资者保护机构须经五十名以上投资者的授权</w:t>
      </w:r>
    </w:p>
    <w:bookmarkEnd w:id="11"/>
    <w:bookmarkEnd w:id="12"/>
    <w:p w14:paraId="0859584E">
      <w:pPr>
        <w:pStyle w:val="2"/>
        <w:tabs>
          <w:tab w:val="left" w:pos="315"/>
          <w:tab w:val="left" w:pos="420"/>
          <w:tab w:val="left" w:pos="3360"/>
        </w:tabs>
        <w:adjustRightInd w:val="0"/>
        <w:spacing w:before="0" w:beforeAutospacing="0" w:after="0" w:afterAutospacing="0" w:line="360" w:lineRule="auto"/>
        <w:rPr>
          <w:rFonts w:hint="eastAsia"/>
        </w:rPr>
      </w:pPr>
      <w:r>
        <w:rPr>
          <w:rFonts w:hint="eastAsia" w:ascii="Times New Roman" w:hAnsi="Times New Roman"/>
        </w:rPr>
        <w:t>13</w:t>
      </w:r>
      <w:r>
        <w:rPr>
          <w:rFonts w:hint="eastAsia"/>
        </w:rPr>
        <w:t>. 石某对赵某享有</w:t>
      </w:r>
      <w:r>
        <w:t>60</w:t>
      </w:r>
      <w:r>
        <w:rPr>
          <w:rFonts w:hint="eastAsia"/>
        </w:rPr>
        <w:t>万元到期债权，赵某拒不履行债务。石某经过调查后发</w:t>
      </w:r>
    </w:p>
    <w:p w14:paraId="2DBD8A66">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rPr>
        <w:t>现，赵某对杨某享有6</w:t>
      </w:r>
      <w:r>
        <w:t>0</w:t>
      </w:r>
      <w:r>
        <w:rPr>
          <w:rFonts w:hint="eastAsia"/>
        </w:rPr>
        <w:t>万元到期债权，却不主动主张到期债权。石某遂以</w:t>
      </w:r>
    </w:p>
    <w:p w14:paraId="6DB4BCA5">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rPr>
        <w:t>杨某为被告主张6</w:t>
      </w:r>
      <w:r>
        <w:t>0</w:t>
      </w:r>
      <w:r>
        <w:rPr>
          <w:rFonts w:hint="eastAsia"/>
        </w:rPr>
        <w:t>万元到期债权。下列关于本案中赵某的表述，正确的是</w:t>
      </w:r>
    </w:p>
    <w:p w14:paraId="0D54E0BA">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rPr>
        <w:t>（        ）</w:t>
      </w:r>
    </w:p>
    <w:p w14:paraId="0C3DEB85">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 xml:space="preserve">A. </w:t>
      </w:r>
      <w:r>
        <w:rPr>
          <w:rFonts w:ascii="Times New Roman" w:hAnsi="Times New Roman"/>
        </w:rPr>
        <w:t xml:space="preserve"> </w:t>
      </w:r>
      <w:r>
        <w:rPr>
          <w:rFonts w:hint="eastAsia" w:ascii="Times New Roman" w:hAnsi="Times New Roman"/>
        </w:rPr>
        <w:t>赵某因与本案有法律上的利害关系而处于无独立请求权第三人的地位</w:t>
      </w:r>
    </w:p>
    <w:p w14:paraId="3E810207">
      <w:pPr>
        <w:pStyle w:val="2"/>
        <w:tabs>
          <w:tab w:val="left" w:pos="315"/>
          <w:tab w:val="left" w:pos="420"/>
          <w:tab w:val="left" w:pos="3360"/>
        </w:tabs>
        <w:adjustRightInd w:val="0"/>
        <w:spacing w:before="0" w:beforeAutospacing="0" w:after="0" w:afterAutospacing="0" w:line="360" w:lineRule="auto"/>
        <w:ind w:firstLine="480" w:firstLineChars="200"/>
        <w:rPr>
          <w:rFonts w:ascii="Times New Roman" w:hAnsi="Times New Roman"/>
        </w:rPr>
      </w:pPr>
      <w:r>
        <w:rPr>
          <w:rFonts w:hint="eastAsia" w:ascii="Times New Roman" w:hAnsi="Times New Roman"/>
        </w:rPr>
        <w:t xml:space="preserve">B. </w:t>
      </w:r>
      <w:r>
        <w:rPr>
          <w:rFonts w:ascii="Times New Roman" w:hAnsi="Times New Roman"/>
        </w:rPr>
        <w:t xml:space="preserve"> </w:t>
      </w:r>
      <w:r>
        <w:rPr>
          <w:rFonts w:hint="eastAsia"/>
        </w:rPr>
        <w:t>赵某参加诉讼过程之后享有与石某和杨某同样的诉讼权利和诉讼地位</w:t>
      </w:r>
    </w:p>
    <w:p w14:paraId="7637AB48">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 xml:space="preserve">C. </w:t>
      </w:r>
      <w:r>
        <w:rPr>
          <w:rFonts w:ascii="Times New Roman" w:hAnsi="Times New Roman"/>
        </w:rPr>
        <w:t xml:space="preserve"> </w:t>
      </w:r>
      <w:r>
        <w:rPr>
          <w:rFonts w:hint="eastAsia"/>
        </w:rPr>
        <w:t>赵某参加到石某和杨某之间的本诉之后无权对本案的管辖权提出异议</w:t>
      </w:r>
    </w:p>
    <w:p w14:paraId="50B2DE7E">
      <w:pPr>
        <w:pStyle w:val="2"/>
        <w:tabs>
          <w:tab w:val="left" w:pos="315"/>
          <w:tab w:val="left" w:pos="420"/>
          <w:tab w:val="left" w:pos="3360"/>
        </w:tabs>
        <w:adjustRightInd w:val="0"/>
        <w:spacing w:before="0" w:beforeAutospacing="0" w:after="0" w:afterAutospacing="0" w:line="360" w:lineRule="auto"/>
        <w:ind w:firstLine="480" w:firstLineChars="200"/>
        <w:rPr>
          <w:rFonts w:hint="eastAsia"/>
        </w:rPr>
      </w:pPr>
      <w:r>
        <w:rPr>
          <w:rFonts w:hint="eastAsia" w:ascii="Times New Roman" w:hAnsi="Times New Roman"/>
        </w:rPr>
        <w:t xml:space="preserve">D. </w:t>
      </w:r>
      <w:r>
        <w:rPr>
          <w:rFonts w:ascii="Times New Roman" w:hAnsi="Times New Roman"/>
        </w:rPr>
        <w:t xml:space="preserve"> </w:t>
      </w:r>
      <w:r>
        <w:rPr>
          <w:rFonts w:hint="eastAsia"/>
        </w:rPr>
        <w:t>赵某因不可归责于自己的原因未能参诉嗣后可以提出第三人撤销之诉</w:t>
      </w:r>
    </w:p>
    <w:p w14:paraId="62314393">
      <w:pPr>
        <w:pStyle w:val="2"/>
        <w:tabs>
          <w:tab w:val="left" w:pos="315"/>
          <w:tab w:val="left" w:pos="3360"/>
        </w:tabs>
        <w:adjustRightInd w:val="0"/>
        <w:spacing w:before="0" w:beforeAutospacing="0" w:after="0" w:afterAutospacing="0" w:line="360" w:lineRule="auto"/>
        <w:rPr>
          <w:rFonts w:hint="eastAsia" w:cs="宋体"/>
          <w:color w:val="000000"/>
        </w:rPr>
      </w:pPr>
      <w:r>
        <w:rPr>
          <w:rFonts w:hint="eastAsia" w:ascii="Times New Roman" w:hAnsi="Times New Roman"/>
        </w:rPr>
        <w:t>14</w:t>
      </w:r>
      <w:r>
        <w:rPr>
          <w:rFonts w:hint="eastAsia"/>
        </w:rPr>
        <w:t>.</w:t>
      </w:r>
      <w:r>
        <w:t xml:space="preserve"> </w:t>
      </w:r>
      <w:r>
        <w:rPr>
          <w:rFonts w:hint="eastAsia" w:cs="宋体"/>
          <w:color w:val="000000"/>
        </w:rPr>
        <w:t>程某以名誉侵权为由向法院提起民事诉讼，诉请叶某赔偿</w:t>
      </w:r>
      <w:r>
        <w:rPr>
          <w:rFonts w:cs="宋体"/>
          <w:color w:val="000000"/>
        </w:rPr>
        <w:t>12</w:t>
      </w:r>
      <w:r>
        <w:rPr>
          <w:rFonts w:hint="eastAsia" w:cs="宋体"/>
          <w:color w:val="000000"/>
        </w:rPr>
        <w:t>万元。法院受</w:t>
      </w:r>
    </w:p>
    <w:p w14:paraId="12E5B93B">
      <w:pPr>
        <w:pStyle w:val="2"/>
        <w:tabs>
          <w:tab w:val="left" w:pos="315"/>
          <w:tab w:val="left" w:pos="3360"/>
        </w:tabs>
        <w:adjustRightInd w:val="0"/>
        <w:spacing w:before="0" w:beforeAutospacing="0" w:after="0" w:afterAutospacing="0" w:line="360" w:lineRule="auto"/>
        <w:ind w:firstLine="480" w:firstLineChars="200"/>
        <w:rPr>
          <w:rFonts w:hint="eastAsia" w:cs="宋体"/>
          <w:color w:val="000000"/>
        </w:rPr>
      </w:pPr>
      <w:r>
        <w:rPr>
          <w:rFonts w:hint="eastAsia" w:cs="宋体"/>
          <w:color w:val="000000"/>
        </w:rPr>
        <w:t>理案件后，程某向法院申请撤回起诉。依照我国现行法律和司法解释的规</w:t>
      </w:r>
    </w:p>
    <w:p w14:paraId="552310ED">
      <w:pPr>
        <w:pStyle w:val="2"/>
        <w:tabs>
          <w:tab w:val="left" w:pos="315"/>
          <w:tab w:val="left" w:pos="3360"/>
        </w:tabs>
        <w:adjustRightInd w:val="0"/>
        <w:spacing w:before="0" w:beforeAutospacing="0" w:after="0" w:afterAutospacing="0" w:line="360" w:lineRule="auto"/>
        <w:ind w:firstLine="480" w:firstLineChars="200"/>
        <w:rPr>
          <w:rFonts w:hint="eastAsia" w:cs="宋体"/>
          <w:color w:val="000000"/>
        </w:rPr>
      </w:pPr>
      <w:r>
        <w:rPr>
          <w:rFonts w:hint="eastAsia" w:cs="宋体"/>
          <w:color w:val="000000"/>
        </w:rPr>
        <w:t>定，下列有关撤诉制度的表述，错误的是（       ）</w:t>
      </w:r>
    </w:p>
    <w:p w14:paraId="3D4D3A73">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A</w:t>
      </w:r>
      <w:r>
        <w:rPr>
          <w:rFonts w:hint="eastAsia" w:ascii="Times New Roman" w:hAnsi="Times New Roman"/>
        </w:rPr>
        <w:t>．在法庭辩论终结前，程某的撤诉须经法院的同意才能生效</w:t>
      </w:r>
    </w:p>
    <w:p w14:paraId="56C82C43">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B</w:t>
      </w:r>
      <w:r>
        <w:rPr>
          <w:rFonts w:hint="eastAsia" w:ascii="Times New Roman" w:hAnsi="Times New Roman"/>
        </w:rPr>
        <w:t>．</w:t>
      </w:r>
      <w:r>
        <w:rPr>
          <w:rFonts w:hint="eastAsia"/>
        </w:rPr>
        <w:t>在法庭辩论终结后，叶某同意程某的撤诉后即生撤诉效果</w:t>
      </w:r>
    </w:p>
    <w:p w14:paraId="5856E20D">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C</w:t>
      </w:r>
      <w:r>
        <w:rPr>
          <w:rFonts w:hint="eastAsia" w:ascii="Times New Roman" w:hAnsi="Times New Roman"/>
        </w:rPr>
        <w:t>．程某在一审程序中撤回起诉之后可以相同的理由再行起诉</w:t>
      </w:r>
    </w:p>
    <w:p w14:paraId="182AF327">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D</w:t>
      </w:r>
      <w:r>
        <w:rPr>
          <w:rFonts w:hint="eastAsia" w:ascii="Times New Roman" w:hAnsi="Times New Roman"/>
        </w:rPr>
        <w:t>．程某在二审程序中撤回起诉之后可以相同的理由再行起诉</w:t>
      </w:r>
    </w:p>
    <w:p w14:paraId="42BEDE42">
      <w:pPr>
        <w:pStyle w:val="2"/>
        <w:tabs>
          <w:tab w:val="left" w:pos="315"/>
          <w:tab w:val="left" w:pos="420"/>
          <w:tab w:val="left" w:pos="3360"/>
        </w:tabs>
        <w:adjustRightInd w:val="0"/>
        <w:spacing w:before="0" w:beforeAutospacing="0" w:after="0" w:afterAutospacing="0" w:line="360" w:lineRule="auto"/>
        <w:ind w:left="480" w:hanging="480" w:hangingChars="200"/>
        <w:rPr>
          <w:rFonts w:hint="eastAsia" w:cs="宋体"/>
          <w:color w:val="000000"/>
        </w:rPr>
      </w:pPr>
      <w:r>
        <w:rPr>
          <w:rFonts w:hint="eastAsia" w:ascii="Times New Roman" w:hAnsi="Times New Roman"/>
        </w:rPr>
        <w:t>15</w:t>
      </w:r>
      <w:r>
        <w:rPr>
          <w:rFonts w:hint="eastAsia"/>
        </w:rPr>
        <w:t>.</w:t>
      </w:r>
      <w:r>
        <w:t xml:space="preserve"> </w:t>
      </w:r>
      <w:bookmarkStart w:id="13" w:name="_Hlk199535644"/>
      <w:r>
        <w:rPr>
          <w:rFonts w:hint="eastAsia" w:cs="宋体"/>
          <w:color w:val="000000"/>
        </w:rPr>
        <w:t>下列有关再审程序的表述，错误的是（       ）</w:t>
      </w:r>
    </w:p>
    <w:p w14:paraId="2F616192">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A</w:t>
      </w:r>
      <w:r>
        <w:rPr>
          <w:rFonts w:hint="eastAsia" w:ascii="Times New Roman" w:hAnsi="Times New Roman"/>
        </w:rPr>
        <w:t>．法院院长发现生效判决存在错误而需要再审的可以依职权启动再审</w:t>
      </w:r>
    </w:p>
    <w:p w14:paraId="45E8DE7A">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B</w:t>
      </w:r>
      <w:r>
        <w:rPr>
          <w:rFonts w:hint="eastAsia" w:ascii="Times New Roman" w:hAnsi="Times New Roman"/>
        </w:rPr>
        <w:t>．</w:t>
      </w:r>
      <w:r>
        <w:rPr>
          <w:rFonts w:hint="eastAsia"/>
        </w:rPr>
        <w:t>沈某与魏某民间借贷纠纷在判决生效后，只能向上级法院申请再审</w:t>
      </w:r>
    </w:p>
    <w:p w14:paraId="11ABD041">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C</w:t>
      </w:r>
      <w:r>
        <w:rPr>
          <w:rFonts w:hint="eastAsia" w:ascii="Times New Roman" w:hAnsi="Times New Roman"/>
        </w:rPr>
        <w:t>．孙某追索赡养费的案件在启动再审程序之后，应当中止执行原判决</w:t>
      </w:r>
    </w:p>
    <w:p w14:paraId="0761109A">
      <w:pPr>
        <w:pStyle w:val="2"/>
        <w:tabs>
          <w:tab w:val="left" w:pos="315"/>
          <w:tab w:val="left" w:pos="3360"/>
        </w:tabs>
        <w:adjustRightInd w:val="0"/>
        <w:spacing w:before="0" w:beforeAutospacing="0" w:after="0" w:afterAutospacing="0" w:line="360" w:lineRule="auto"/>
        <w:ind w:firstLine="480" w:firstLineChars="200"/>
        <w:rPr>
          <w:rFonts w:hint="eastAsia"/>
        </w:rPr>
      </w:pPr>
      <w:r>
        <w:rPr>
          <w:rFonts w:ascii="Times New Roman" w:hAnsi="Times New Roman"/>
        </w:rPr>
        <w:t>D</w:t>
      </w:r>
      <w:r>
        <w:rPr>
          <w:rFonts w:hint="eastAsia" w:ascii="Times New Roman" w:hAnsi="Times New Roman"/>
        </w:rPr>
        <w:t>．法院调解书损害国家利益或者社会公共利益之时才能适用检察监督</w:t>
      </w:r>
    </w:p>
    <w:bookmarkEnd w:id="13"/>
    <w:p w14:paraId="5AD0164A">
      <w:pPr>
        <w:pStyle w:val="2"/>
        <w:tabs>
          <w:tab w:val="left" w:pos="315"/>
          <w:tab w:val="left" w:pos="3360"/>
        </w:tabs>
        <w:adjustRightInd w:val="0"/>
        <w:spacing w:before="0" w:beforeAutospacing="0" w:after="0" w:afterAutospacing="0" w:line="360" w:lineRule="auto"/>
        <w:rPr>
          <w:rFonts w:hint="eastAsia" w:ascii="黑体" w:hAnsi="黑体" w:eastAsia="黑体" w:cs="黑体"/>
          <w:b/>
          <w:bCs/>
        </w:rPr>
      </w:pPr>
      <w:r>
        <w:rPr>
          <w:rFonts w:hint="eastAsia" w:ascii="黑体" w:hAnsi="黑体" w:eastAsia="黑体" w:cs="黑体"/>
          <w:b/>
          <w:bCs/>
        </w:rPr>
        <w:t>三、案例分析题</w:t>
      </w:r>
    </w:p>
    <w:p w14:paraId="7BF3E8F3">
      <w:pPr>
        <w:pStyle w:val="2"/>
        <w:tabs>
          <w:tab w:val="left" w:pos="315"/>
          <w:tab w:val="left" w:pos="840"/>
          <w:tab w:val="left" w:pos="3360"/>
        </w:tabs>
        <w:adjustRightInd w:val="0"/>
        <w:spacing w:before="0" w:beforeAutospacing="0" w:after="0" w:afterAutospacing="0" w:line="360" w:lineRule="auto"/>
        <w:ind w:left="480" w:hanging="480" w:hangingChars="200"/>
        <w:rPr>
          <w:rFonts w:hint="eastAsia"/>
        </w:rPr>
      </w:pPr>
      <w:r>
        <w:rPr>
          <w:rFonts w:ascii="Times New Roman" w:hAnsi="Times New Roman"/>
        </w:rPr>
        <w:t>16</w:t>
      </w:r>
      <w:r>
        <w:rPr>
          <w:rFonts w:hint="eastAsia"/>
        </w:rPr>
        <w:t>.</w:t>
      </w:r>
      <w:r>
        <w:t xml:space="preserve"> </w:t>
      </w:r>
      <w:r>
        <w:rPr>
          <w:rFonts w:hint="eastAsia"/>
        </w:rPr>
        <w:t>刘某与王某系夫妻关系（户籍在</w:t>
      </w:r>
      <w:bookmarkStart w:id="14" w:name="_Hlk199623586"/>
      <w:r>
        <w:rPr>
          <w:rFonts w:hint="eastAsia"/>
        </w:rPr>
        <w:t>杭州市西湖区</w:t>
      </w:r>
      <w:bookmarkEnd w:id="14"/>
      <w:r>
        <w:rPr>
          <w:rFonts w:hint="eastAsia"/>
        </w:rPr>
        <w:t>），育有刘某甲、刘某乙、刘某丙、刘某丁、刘某戊五名子女。王某于2</w:t>
      </w:r>
      <w:r>
        <w:t>020</w:t>
      </w:r>
      <w:r>
        <w:rPr>
          <w:rFonts w:hint="eastAsia"/>
        </w:rPr>
        <w:t>年去世，刘某于20</w:t>
      </w:r>
      <w:r>
        <w:t>24</w:t>
      </w:r>
      <w:r>
        <w:rPr>
          <w:rFonts w:hint="eastAsia"/>
        </w:rPr>
        <w:t>年去世，留有一处房屋（位于杭州市钱塘区）。20</w:t>
      </w:r>
      <w:r>
        <w:t>25</w:t>
      </w:r>
      <w:r>
        <w:rPr>
          <w:rFonts w:hint="eastAsia"/>
        </w:rPr>
        <w:t>年5月，刘某甲、刘某丙、刘某丁、刘某戊在杭州市某公证处办理法定继承公证，四人均表述刘某与王某共有刘某甲、刘某丙、刘某丁、刘某戊四个子女，没有养子女和有扶养关系的继子女，没有遗漏其他法定继承人及依法有权分得本公证涉及的刘某与王某遗产的人。刘某甲、刘某戊书面表示将其享有的份额交由刘某丙、刘某丁继承。刘某乙得知后诉至法院，请求法院判令刘某丙、刘某丁折价补偿刘某乙对于案涉房屋所享有的权益1</w:t>
      </w:r>
      <w:r>
        <w:t>1</w:t>
      </w:r>
      <w:r>
        <w:rPr>
          <w:rFonts w:hint="eastAsia"/>
        </w:rPr>
        <w:t>万元。法院经过审理，判决刘某丙、刘某丁应当将案涉房屋按照比例折价11万元，向刘某乙给付。法院受理案件后，决定采用简易程序进行审理。请问：</w:t>
      </w:r>
    </w:p>
    <w:p w14:paraId="573CAAD6">
      <w:pPr>
        <w:pStyle w:val="2"/>
        <w:tabs>
          <w:tab w:val="left" w:pos="315"/>
          <w:tab w:val="left" w:pos="840"/>
          <w:tab w:val="left" w:pos="3360"/>
        </w:tabs>
        <w:adjustRightInd w:val="0"/>
        <w:spacing w:before="0" w:beforeAutospacing="0" w:after="0" w:afterAutospacing="0" w:line="360" w:lineRule="auto"/>
        <w:ind w:left="420" w:leftChars="200"/>
        <w:rPr>
          <w:rFonts w:hint="eastAsia"/>
        </w:rPr>
      </w:pPr>
      <w:bookmarkStart w:id="15" w:name="_Hlk168864470"/>
      <w:r>
        <w:rPr>
          <w:rFonts w:hint="eastAsia"/>
        </w:rPr>
        <w:t>（1） 本案为必要共同诉讼还是普通共同诉讼？</w:t>
      </w:r>
    </w:p>
    <w:p w14:paraId="4D72B79F">
      <w:pPr>
        <w:pStyle w:val="2"/>
        <w:tabs>
          <w:tab w:val="left" w:pos="315"/>
          <w:tab w:val="left" w:pos="840"/>
          <w:tab w:val="left" w:pos="3360"/>
        </w:tabs>
        <w:adjustRightInd w:val="0"/>
        <w:spacing w:before="0" w:beforeAutospacing="0" w:after="0" w:afterAutospacing="0" w:line="360" w:lineRule="auto"/>
        <w:ind w:left="1140" w:leftChars="200" w:hanging="720" w:hangingChars="300"/>
        <w:rPr>
          <w:rFonts w:hint="eastAsia"/>
        </w:rPr>
      </w:pPr>
      <w:r>
        <w:rPr>
          <w:rFonts w:hint="eastAsia"/>
        </w:rPr>
        <w:t xml:space="preserve">（2） 何地法院对本案享有管辖权？ </w:t>
      </w:r>
    </w:p>
    <w:p w14:paraId="44FB2D79">
      <w:pPr>
        <w:pStyle w:val="2"/>
        <w:tabs>
          <w:tab w:val="left" w:pos="315"/>
          <w:tab w:val="left" w:pos="840"/>
          <w:tab w:val="left" w:pos="3360"/>
        </w:tabs>
        <w:adjustRightInd w:val="0"/>
        <w:spacing w:before="0" w:beforeAutospacing="0" w:after="0" w:afterAutospacing="0" w:line="360" w:lineRule="auto"/>
        <w:ind w:left="1140" w:leftChars="200" w:hanging="720" w:hangingChars="300"/>
        <w:rPr>
          <w:rFonts w:hint="eastAsia"/>
        </w:rPr>
      </w:pPr>
      <w:r>
        <w:rPr>
          <w:rFonts w:hint="eastAsia"/>
        </w:rPr>
        <w:t>（3） 遗产继承纠纷是否实行调解前置主义？</w:t>
      </w:r>
    </w:p>
    <w:p w14:paraId="730C4535">
      <w:pPr>
        <w:pStyle w:val="2"/>
        <w:tabs>
          <w:tab w:val="left" w:pos="315"/>
          <w:tab w:val="left" w:pos="840"/>
          <w:tab w:val="left" w:pos="3360"/>
        </w:tabs>
        <w:adjustRightInd w:val="0"/>
        <w:spacing w:before="0" w:beforeAutospacing="0" w:after="0" w:afterAutospacing="0" w:line="360" w:lineRule="auto"/>
        <w:ind w:left="1140" w:leftChars="200" w:hanging="720" w:hangingChars="300"/>
        <w:rPr>
          <w:rFonts w:hint="eastAsia"/>
        </w:rPr>
      </w:pPr>
      <w:r>
        <w:rPr>
          <w:rFonts w:hint="eastAsia"/>
        </w:rPr>
        <w:t xml:space="preserve">（4） </w:t>
      </w:r>
      <w:bookmarkStart w:id="16" w:name="_Hlk199623650"/>
      <w:r>
        <w:rPr>
          <w:rFonts w:hint="eastAsia"/>
        </w:rPr>
        <w:t>一审法院在案件审理过程中发现案件复杂，是否有权将简易程序转为普通程序</w:t>
      </w:r>
      <w:bookmarkEnd w:id="16"/>
      <w:r>
        <w:rPr>
          <w:rFonts w:hint="eastAsia"/>
        </w:rPr>
        <w:t xml:space="preserve">？ </w:t>
      </w:r>
    </w:p>
    <w:p w14:paraId="38C802AF">
      <w:pPr>
        <w:pStyle w:val="2"/>
        <w:tabs>
          <w:tab w:val="left" w:pos="315"/>
          <w:tab w:val="left" w:pos="840"/>
          <w:tab w:val="left" w:pos="3360"/>
        </w:tabs>
        <w:adjustRightInd w:val="0"/>
        <w:spacing w:before="0" w:beforeAutospacing="0" w:after="0" w:afterAutospacing="0" w:line="360" w:lineRule="auto"/>
        <w:ind w:left="1140" w:leftChars="200" w:hanging="720" w:hangingChars="300"/>
        <w:rPr>
          <w:rFonts w:hint="eastAsia"/>
        </w:rPr>
      </w:pPr>
      <w:r>
        <w:rPr>
          <w:rFonts w:hint="eastAsia"/>
        </w:rPr>
        <w:t>（</w:t>
      </w:r>
      <w:r>
        <w:t>5</w:t>
      </w:r>
      <w:r>
        <w:rPr>
          <w:rFonts w:hint="eastAsia"/>
        </w:rPr>
        <w:t>）</w:t>
      </w:r>
      <w:r>
        <w:t xml:space="preserve"> </w:t>
      </w:r>
      <w:r>
        <w:rPr>
          <w:rFonts w:hint="eastAsia"/>
        </w:rPr>
        <w:t>在二审程序中，刘某乙要求刘某丙、刘某丁支付案涉房屋款额所产生的利息。二审法院应当如何处理？</w:t>
      </w:r>
    </w:p>
    <w:bookmarkEnd w:id="15"/>
    <w:p w14:paraId="4144785A">
      <w:pPr>
        <w:spacing w:line="360" w:lineRule="auto"/>
        <w:outlineLvl w:val="0"/>
        <w:rPr>
          <w:rFonts w:ascii="黑体" w:hAnsi="Times New Roman" w:eastAsia="黑体" w:cs="Times New Roman"/>
          <w:b/>
          <w:sz w:val="32"/>
          <w:szCs w:val="32"/>
        </w:rPr>
      </w:pPr>
    </w:p>
    <w:p w14:paraId="743A430A">
      <w:pPr>
        <w:spacing w:line="360" w:lineRule="auto"/>
        <w:outlineLvl w:val="0"/>
        <w:rPr>
          <w:rFonts w:ascii="黑体" w:hAnsi="Times New Roman" w:eastAsia="黑体" w:cs="Times New Roman"/>
          <w:b/>
          <w:sz w:val="32"/>
          <w:szCs w:val="32"/>
        </w:rPr>
      </w:pPr>
    </w:p>
    <w:p w14:paraId="54A6ADC6">
      <w:pPr>
        <w:spacing w:line="360" w:lineRule="auto"/>
        <w:outlineLvl w:val="0"/>
        <w:rPr>
          <w:rFonts w:ascii="黑体" w:hAnsi="Times New Roman" w:eastAsia="黑体" w:cs="Times New Roman"/>
          <w:b/>
          <w:sz w:val="32"/>
          <w:szCs w:val="32"/>
        </w:rPr>
      </w:pPr>
    </w:p>
    <w:p w14:paraId="6000081A">
      <w:pPr>
        <w:spacing w:line="360" w:lineRule="auto"/>
        <w:outlineLvl w:val="0"/>
        <w:rPr>
          <w:rFonts w:ascii="黑体" w:hAnsi="Times New Roman" w:eastAsia="黑体" w:cs="Times New Roman"/>
          <w:b/>
          <w:sz w:val="32"/>
          <w:szCs w:val="32"/>
        </w:rPr>
      </w:pPr>
    </w:p>
    <w:p w14:paraId="4A86AC6A">
      <w:pPr>
        <w:spacing w:line="360" w:lineRule="auto"/>
        <w:outlineLvl w:val="0"/>
        <w:rPr>
          <w:rFonts w:ascii="黑体" w:hAnsi="Times New Roman" w:eastAsia="黑体" w:cs="Times New Roman"/>
          <w:b/>
          <w:sz w:val="32"/>
          <w:szCs w:val="32"/>
        </w:rPr>
      </w:pPr>
    </w:p>
    <w:p w14:paraId="7F25693D">
      <w:pPr>
        <w:spacing w:line="360" w:lineRule="auto"/>
        <w:outlineLvl w:val="0"/>
        <w:rPr>
          <w:rFonts w:ascii="黑体" w:hAnsi="Times New Roman" w:eastAsia="黑体" w:cs="Times New Roman"/>
          <w:b/>
          <w:sz w:val="32"/>
          <w:szCs w:val="32"/>
        </w:rPr>
      </w:pPr>
    </w:p>
    <w:p w14:paraId="05DB011B">
      <w:pPr>
        <w:spacing w:line="360" w:lineRule="auto"/>
        <w:outlineLvl w:val="0"/>
        <w:rPr>
          <w:rFonts w:ascii="黑体" w:hAnsi="Times New Roman" w:eastAsia="黑体" w:cs="Times New Roman"/>
          <w:b/>
          <w:sz w:val="32"/>
          <w:szCs w:val="32"/>
        </w:rPr>
      </w:pPr>
    </w:p>
    <w:p w14:paraId="7240E4D2">
      <w:pPr>
        <w:spacing w:line="360" w:lineRule="auto"/>
        <w:outlineLvl w:val="0"/>
        <w:rPr>
          <w:rFonts w:ascii="黑体" w:hAnsi="Times New Roman" w:eastAsia="黑体" w:cs="Times New Roman"/>
          <w:b/>
          <w:sz w:val="32"/>
          <w:szCs w:val="32"/>
        </w:rPr>
      </w:pPr>
    </w:p>
    <w:p w14:paraId="4C24FDB1">
      <w:pPr>
        <w:spacing w:line="360" w:lineRule="auto"/>
        <w:outlineLvl w:val="0"/>
        <w:rPr>
          <w:rFonts w:ascii="黑体" w:hAnsi="Times New Roman" w:eastAsia="黑体" w:cs="Times New Roman"/>
          <w:b/>
          <w:sz w:val="32"/>
          <w:szCs w:val="32"/>
        </w:rPr>
      </w:pPr>
    </w:p>
    <w:p w14:paraId="2BCCD7BE">
      <w:pPr>
        <w:spacing w:line="360" w:lineRule="auto"/>
        <w:outlineLvl w:val="0"/>
        <w:rPr>
          <w:rFonts w:ascii="黑体" w:hAnsi="Times New Roman" w:eastAsia="黑体" w:cs="Times New Roman"/>
          <w:b/>
          <w:sz w:val="32"/>
          <w:szCs w:val="32"/>
        </w:rPr>
      </w:pPr>
    </w:p>
    <w:p w14:paraId="20F57F97">
      <w:pPr>
        <w:spacing w:line="360" w:lineRule="auto"/>
        <w:outlineLvl w:val="0"/>
        <w:rPr>
          <w:rFonts w:ascii="黑体" w:hAnsi="Times New Roman" w:eastAsia="黑体" w:cs="Times New Roman"/>
          <w:b/>
          <w:sz w:val="32"/>
          <w:szCs w:val="32"/>
        </w:rPr>
      </w:pPr>
    </w:p>
    <w:p w14:paraId="1A74154E">
      <w:pPr>
        <w:spacing w:line="360" w:lineRule="auto"/>
        <w:outlineLvl w:val="0"/>
        <w:rPr>
          <w:rFonts w:ascii="黑体" w:hAnsi="Times New Roman" w:eastAsia="黑体" w:cs="Times New Roman"/>
          <w:b/>
          <w:sz w:val="32"/>
          <w:szCs w:val="32"/>
        </w:rPr>
      </w:pPr>
    </w:p>
    <w:p w14:paraId="38C38A2E">
      <w:pPr>
        <w:spacing w:line="360" w:lineRule="auto"/>
        <w:outlineLvl w:val="0"/>
        <w:rPr>
          <w:rFonts w:ascii="黑体" w:hAnsi="Times New Roman" w:eastAsia="黑体" w:cs="Times New Roman"/>
          <w:b/>
          <w:sz w:val="32"/>
          <w:szCs w:val="32"/>
        </w:rPr>
      </w:pPr>
    </w:p>
    <w:p w14:paraId="415070E6">
      <w:pPr>
        <w:spacing w:line="360" w:lineRule="auto"/>
        <w:outlineLvl w:val="0"/>
        <w:rPr>
          <w:rFonts w:ascii="黑体" w:hAnsi="Times New Roman" w:eastAsia="黑体" w:cs="Times New Roman"/>
          <w:b/>
          <w:sz w:val="32"/>
          <w:szCs w:val="32"/>
        </w:rPr>
      </w:pPr>
    </w:p>
    <w:p w14:paraId="3BA61750">
      <w:pPr>
        <w:spacing w:line="360" w:lineRule="auto"/>
        <w:outlineLvl w:val="0"/>
        <w:rPr>
          <w:rFonts w:ascii="黑体" w:hAnsi="Times New Roman" w:eastAsia="黑体" w:cs="Times New Roman"/>
          <w:b/>
          <w:sz w:val="32"/>
          <w:szCs w:val="32"/>
        </w:rPr>
      </w:pPr>
    </w:p>
    <w:p w14:paraId="7A4E03A1">
      <w:pPr>
        <w:spacing w:line="360" w:lineRule="auto"/>
        <w:outlineLvl w:val="0"/>
        <w:rPr>
          <w:rFonts w:ascii="黑体" w:hAnsi="Times New Roman" w:eastAsia="黑体" w:cs="Times New Roman"/>
          <w:b/>
          <w:sz w:val="32"/>
          <w:szCs w:val="32"/>
        </w:rPr>
      </w:pPr>
      <w:bookmarkStart w:id="17" w:name="_GoBack"/>
      <w:bookmarkEnd w:id="17"/>
    </w:p>
    <w:sectPr>
      <w:footerReference r:id="rId3" w:type="default"/>
      <w:footerReference r:id="rId4" w:type="even"/>
      <w:pgSz w:w="11906" w:h="16838"/>
      <w:pgMar w:top="1134"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9169713"/>
      <w:placeholder>
        <w:docPart w:val="A848F1E4ADC14C8F9E77B1147D92ADC7"/>
      </w:placeholder>
      <w:temporary/>
      <w:showingPlcHdr/>
    </w:sdtPr>
    <w:sdtContent>
      <w:p w14:paraId="1BD81B15">
        <w:pPr>
          <w:pStyle w:val="5"/>
        </w:pPr>
        <w:r>
          <w:rPr>
            <w:lang w:val="zh-CN"/>
          </w:rPr>
          <w:t>[键入文字]</w:t>
        </w:r>
      </w:p>
    </w:sdtContent>
  </w:sdt>
  <w:p w14:paraId="4C93A69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C30DC">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0CDB613C">
    <w:pPr>
      <w:pStyle w:val="5"/>
    </w:pPr>
  </w:p>
  <w:p w14:paraId="572DF145"/>
  <w:p w14:paraId="188DBFEE"/>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F0"/>
    <w:rsid w:val="0000565C"/>
    <w:rsid w:val="00032289"/>
    <w:rsid w:val="0008553E"/>
    <w:rsid w:val="000C58AD"/>
    <w:rsid w:val="001C3FB3"/>
    <w:rsid w:val="001D53D9"/>
    <w:rsid w:val="001E0E82"/>
    <w:rsid w:val="001E2AAE"/>
    <w:rsid w:val="00225D0F"/>
    <w:rsid w:val="00242423"/>
    <w:rsid w:val="002621A7"/>
    <w:rsid w:val="00292132"/>
    <w:rsid w:val="002929FF"/>
    <w:rsid w:val="00301C81"/>
    <w:rsid w:val="003069E5"/>
    <w:rsid w:val="00333DB7"/>
    <w:rsid w:val="00333DCD"/>
    <w:rsid w:val="00364E1F"/>
    <w:rsid w:val="00375A91"/>
    <w:rsid w:val="00382AD0"/>
    <w:rsid w:val="00391968"/>
    <w:rsid w:val="003E711E"/>
    <w:rsid w:val="003E7F84"/>
    <w:rsid w:val="00454DD2"/>
    <w:rsid w:val="00454ED8"/>
    <w:rsid w:val="004674B2"/>
    <w:rsid w:val="00476546"/>
    <w:rsid w:val="00515FAA"/>
    <w:rsid w:val="0053320C"/>
    <w:rsid w:val="00535B80"/>
    <w:rsid w:val="00557A97"/>
    <w:rsid w:val="0056506B"/>
    <w:rsid w:val="0058297B"/>
    <w:rsid w:val="00583176"/>
    <w:rsid w:val="00592268"/>
    <w:rsid w:val="006122DF"/>
    <w:rsid w:val="00615A96"/>
    <w:rsid w:val="006409C0"/>
    <w:rsid w:val="00641EFF"/>
    <w:rsid w:val="00655119"/>
    <w:rsid w:val="00670918"/>
    <w:rsid w:val="00683BBC"/>
    <w:rsid w:val="006C4351"/>
    <w:rsid w:val="0071135E"/>
    <w:rsid w:val="007130F0"/>
    <w:rsid w:val="007403E5"/>
    <w:rsid w:val="00746DC9"/>
    <w:rsid w:val="00754E34"/>
    <w:rsid w:val="0075689F"/>
    <w:rsid w:val="007647A9"/>
    <w:rsid w:val="007A5A57"/>
    <w:rsid w:val="007B524B"/>
    <w:rsid w:val="007C6F66"/>
    <w:rsid w:val="007C75C2"/>
    <w:rsid w:val="00810915"/>
    <w:rsid w:val="00843086"/>
    <w:rsid w:val="00865FC5"/>
    <w:rsid w:val="0088758B"/>
    <w:rsid w:val="008908DB"/>
    <w:rsid w:val="00907372"/>
    <w:rsid w:val="00916034"/>
    <w:rsid w:val="009755B3"/>
    <w:rsid w:val="009E43F5"/>
    <w:rsid w:val="00A02CEE"/>
    <w:rsid w:val="00A34B9B"/>
    <w:rsid w:val="00A47DCA"/>
    <w:rsid w:val="00A62232"/>
    <w:rsid w:val="00A85CF5"/>
    <w:rsid w:val="00AA1632"/>
    <w:rsid w:val="00AA64DB"/>
    <w:rsid w:val="00AE5116"/>
    <w:rsid w:val="00B1108F"/>
    <w:rsid w:val="00B269E9"/>
    <w:rsid w:val="00B358AB"/>
    <w:rsid w:val="00B36FA2"/>
    <w:rsid w:val="00B80716"/>
    <w:rsid w:val="00BA6041"/>
    <w:rsid w:val="00C26E9D"/>
    <w:rsid w:val="00C46B3C"/>
    <w:rsid w:val="00CB10CC"/>
    <w:rsid w:val="00CC255C"/>
    <w:rsid w:val="00CD06FD"/>
    <w:rsid w:val="00D458E5"/>
    <w:rsid w:val="00D57D92"/>
    <w:rsid w:val="00DF4CA4"/>
    <w:rsid w:val="00E06366"/>
    <w:rsid w:val="00E26DF1"/>
    <w:rsid w:val="00E43165"/>
    <w:rsid w:val="00E503C7"/>
    <w:rsid w:val="00E7135A"/>
    <w:rsid w:val="00E8735A"/>
    <w:rsid w:val="00E92617"/>
    <w:rsid w:val="00EA46B9"/>
    <w:rsid w:val="00EB21F1"/>
    <w:rsid w:val="00F61706"/>
    <w:rsid w:val="00F94223"/>
    <w:rsid w:val="00FC3335"/>
    <w:rsid w:val="00FD19C2"/>
    <w:rsid w:val="72D15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link w:val="19"/>
    <w:uiPriority w:val="0"/>
    <w:pPr>
      <w:widowControl/>
      <w:spacing w:before="100" w:beforeAutospacing="1" w:after="100" w:afterAutospacing="1"/>
      <w:jc w:val="left"/>
    </w:pPr>
    <w:rPr>
      <w:rFonts w:ascii="宋体" w:hAnsi="宋体" w:eastAsia="宋体" w:cs="Times New Roman"/>
      <w:kern w:val="0"/>
      <w:sz w:val="24"/>
      <w:szCs w:val="24"/>
    </w:rPr>
  </w:style>
  <w:style w:type="paragraph" w:styleId="3">
    <w:name w:val="Plain Text"/>
    <w:link w:val="21"/>
    <w:unhideWhenUsed/>
    <w:qFormat/>
    <w:uiPriority w:val="0"/>
    <w:pPr>
      <w:widowControl w:val="0"/>
      <w:jc w:val="both"/>
    </w:pPr>
    <w:rPr>
      <w:rFonts w:ascii="宋体" w:hAnsi="Courier New" w:eastAsia="宋体" w:cs="Times New Roman"/>
      <w:kern w:val="2"/>
      <w:sz w:val="21"/>
      <w:szCs w:val="20"/>
      <w:lang w:val="en-US" w:eastAsia="zh-CN" w:bidi="ar-SA"/>
    </w:rPr>
  </w:style>
  <w:style w:type="paragraph" w:styleId="4">
    <w:name w:val="Balloon Text"/>
    <w:basedOn w:val="1"/>
    <w:link w:val="15"/>
    <w:semiHidden/>
    <w:unhideWhenUsed/>
    <w:uiPriority w:val="99"/>
    <w:rPr>
      <w:sz w:val="18"/>
      <w:szCs w:val="18"/>
    </w:rPr>
  </w:style>
  <w:style w:type="paragraph" w:styleId="5">
    <w:name w:val="footer"/>
    <w:basedOn w:val="1"/>
    <w:link w:val="13"/>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6">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4"/>
    <w:qFormat/>
    <w:uiPriority w:val="0"/>
    <w:pPr>
      <w:snapToGrid w:val="0"/>
      <w:jc w:val="left"/>
    </w:pPr>
    <w:rPr>
      <w:rFonts w:ascii="Times New Roman" w:hAnsi="Times New Roman" w:eastAsia="宋体" w:cs="Times New Roman"/>
      <w:sz w:val="18"/>
      <w:szCs w:val="18"/>
    </w:rPr>
  </w:style>
  <w:style w:type="table" w:styleId="9">
    <w:name w:val="Table Grid"/>
    <w:basedOn w:val="8"/>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footnote reference"/>
    <w:basedOn w:val="10"/>
    <w:qFormat/>
    <w:uiPriority w:val="0"/>
    <w:rPr>
      <w:vertAlign w:val="superscript"/>
    </w:rPr>
  </w:style>
  <w:style w:type="character" w:customStyle="1" w:styleId="13">
    <w:name w:val="页脚 字符"/>
    <w:basedOn w:val="10"/>
    <w:link w:val="5"/>
    <w:qFormat/>
    <w:uiPriority w:val="99"/>
    <w:rPr>
      <w:rFonts w:ascii="Times New Roman" w:hAnsi="Times New Roman" w:eastAsia="宋体" w:cs="Times New Roman"/>
      <w:sz w:val="18"/>
      <w:szCs w:val="18"/>
    </w:rPr>
  </w:style>
  <w:style w:type="character" w:customStyle="1" w:styleId="14">
    <w:name w:val="脚注文本 字符"/>
    <w:basedOn w:val="10"/>
    <w:link w:val="7"/>
    <w:qFormat/>
    <w:uiPriority w:val="0"/>
    <w:rPr>
      <w:rFonts w:ascii="Times New Roman" w:hAnsi="Times New Roman" w:eastAsia="宋体" w:cs="Times New Roman"/>
      <w:sz w:val="18"/>
      <w:szCs w:val="18"/>
    </w:rPr>
  </w:style>
  <w:style w:type="character" w:customStyle="1" w:styleId="15">
    <w:name w:val="批注框文本 字符"/>
    <w:basedOn w:val="10"/>
    <w:link w:val="4"/>
    <w:semiHidden/>
    <w:qFormat/>
    <w:uiPriority w:val="99"/>
    <w:rPr>
      <w:sz w:val="18"/>
      <w:szCs w:val="18"/>
    </w:rPr>
  </w:style>
  <w:style w:type="character" w:customStyle="1" w:styleId="16">
    <w:name w:val="页眉 字符"/>
    <w:basedOn w:val="10"/>
    <w:link w:val="6"/>
    <w:uiPriority w:val="99"/>
    <w:rPr>
      <w:sz w:val="18"/>
      <w:szCs w:val="18"/>
    </w:rPr>
  </w:style>
  <w:style w:type="paragraph" w:styleId="17">
    <w:name w:val="List Paragraph"/>
    <w:basedOn w:val="1"/>
    <w:qFormat/>
    <w:uiPriority w:val="34"/>
    <w:pPr>
      <w:ind w:firstLine="420" w:firstLineChars="200"/>
    </w:pPr>
    <w:rPr>
      <w:rFonts w:ascii="Times New Roman" w:hAnsi="Times New Roman" w:eastAsia="宋体" w:cs="Times New Roman"/>
      <w:szCs w:val="24"/>
    </w:rPr>
  </w:style>
  <w:style w:type="character" w:customStyle="1" w:styleId="18">
    <w:name w:val="正文文本 字符"/>
    <w:basedOn w:val="10"/>
    <w:semiHidden/>
    <w:qFormat/>
    <w:uiPriority w:val="99"/>
  </w:style>
  <w:style w:type="character" w:customStyle="1" w:styleId="19">
    <w:name w:val="正文文本 字符1"/>
    <w:link w:val="2"/>
    <w:uiPriority w:val="0"/>
    <w:rPr>
      <w:rFonts w:ascii="宋体" w:hAnsi="宋体" w:eastAsia="宋体" w:cs="Times New Roman"/>
      <w:kern w:val="0"/>
      <w:sz w:val="24"/>
      <w:szCs w:val="24"/>
    </w:rPr>
  </w:style>
  <w:style w:type="character" w:customStyle="1" w:styleId="20">
    <w:name w:val="正文文本 Char"/>
    <w:qFormat/>
    <w:uiPriority w:val="0"/>
    <w:rPr>
      <w:rFonts w:ascii="宋体" w:hAnsi="宋体"/>
      <w:sz w:val="24"/>
      <w:szCs w:val="24"/>
    </w:rPr>
  </w:style>
  <w:style w:type="character" w:customStyle="1" w:styleId="21">
    <w:name w:val="纯文本 字符"/>
    <w:basedOn w:val="10"/>
    <w:link w:val="3"/>
    <w:uiPriority w:val="0"/>
    <w:rPr>
      <w:rFonts w:ascii="宋体" w:hAnsi="Courier New" w:eastAsia="宋体" w:cs="Times New Roman"/>
      <w:szCs w:val="2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848F1E4ADC14C8F9E77B1147D92ADC7"/>
        <w:style w:val=""/>
        <w:category>
          <w:name w:val="常规"/>
          <w:gallery w:val="placeholder"/>
        </w:category>
        <w:types>
          <w:type w:val="bbPlcHdr"/>
        </w:types>
        <w:behaviors>
          <w:behavior w:val="content"/>
        </w:behaviors>
        <w:description w:val=""/>
        <w:guid w:val="{03626C90-D9A9-429F-8278-71ADE30219A5}"/>
      </w:docPartPr>
      <w:docPartBody>
        <w:p w14:paraId="2832CF0E">
          <w:pPr>
            <w:pStyle w:val="5"/>
            <w:rPr>
              <w:rFonts w:hint="eastAsia"/>
            </w:rPr>
          </w:pPr>
          <w:r>
            <w:rPr>
              <w:lang w:val="zh-CN"/>
            </w:rPr>
            <w:t>[键入文字]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C957F4"/>
    <w:rsid w:val="00042D34"/>
    <w:rsid w:val="001079AB"/>
    <w:rsid w:val="00177EA6"/>
    <w:rsid w:val="002A7542"/>
    <w:rsid w:val="0034535A"/>
    <w:rsid w:val="003C1F6B"/>
    <w:rsid w:val="00413D6F"/>
    <w:rsid w:val="0050547A"/>
    <w:rsid w:val="00511ADE"/>
    <w:rsid w:val="005C7459"/>
    <w:rsid w:val="00632B54"/>
    <w:rsid w:val="006515D5"/>
    <w:rsid w:val="00670918"/>
    <w:rsid w:val="006A62E5"/>
    <w:rsid w:val="006E5BB4"/>
    <w:rsid w:val="008161EB"/>
    <w:rsid w:val="00877053"/>
    <w:rsid w:val="008F185A"/>
    <w:rsid w:val="00916034"/>
    <w:rsid w:val="00982E46"/>
    <w:rsid w:val="00A0520E"/>
    <w:rsid w:val="00A54561"/>
    <w:rsid w:val="00B5183B"/>
    <w:rsid w:val="00B647F5"/>
    <w:rsid w:val="00C16A6C"/>
    <w:rsid w:val="00C45A0C"/>
    <w:rsid w:val="00C57215"/>
    <w:rsid w:val="00C957F4"/>
    <w:rsid w:val="00DE2F5E"/>
    <w:rsid w:val="00DE556A"/>
    <w:rsid w:val="00E300D9"/>
    <w:rsid w:val="00E30885"/>
    <w:rsid w:val="00E56421"/>
    <w:rsid w:val="00E95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A848F1E4ADC14C8F9E77B1147D92ADC7"/>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164E8-27CC-462B-AEB8-B99793A2030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5</Pages>
  <Words>3520</Words>
  <Characters>3605</Characters>
  <Lines>28</Lines>
  <Paragraphs>8</Paragraphs>
  <TotalTime>3</TotalTime>
  <ScaleCrop>false</ScaleCrop>
  <LinksUpToDate>false</LinksUpToDate>
  <CharactersWithSpaces>3887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2025-08-10T00:46:00Z</dcterms:created>
  <dc:creator>Hewlett-Packard Company</dc:creator>
  <cp:lastModifiedBy>Casual</cp:lastModifiedBy>
  <dcterms:modified xsi:type="dcterms:W3CDTF">2025-11-08T06:36:49Z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eyJoZGlkIjoiZmJlMjhjZWM5NTI1NGQ3YzBmNDIyYmQ0MjgyYzY3ZWUiLCJ1c2VySWQiOiIzMDcyNzU4NzcifQ==</vt:lpwstr>
  </property>
  <property fmtid="{D5CDD505-2E9C-101B-9397-08002B2CF9AE}" pid="3" name="KSOProductBuildVer">
    <vt:lpwstr>2052-12.1.0.23125</vt:lpwstr>
  </property>
  <property fmtid="{D5CDD505-2E9C-101B-9397-08002B2CF9AE}" pid="4" name="ICV">
    <vt:lpwstr>3824629125424E4DBF824AF89201F527_12</vt:lpwstr>
  </property>
</Properties>
</file>