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6650" w:rsidRDefault="0094049F" w:rsidP="007E20DB">
      <w:pPr>
        <w:spacing w:line="280" w:lineRule="exact"/>
        <w:ind w:firstLineChars="1100" w:firstLine="2650"/>
        <w:rPr>
          <w:rFonts w:ascii="新宋体" w:eastAsia="新宋体" w:hAnsi="新宋体"/>
          <w:szCs w:val="21"/>
        </w:rPr>
      </w:pPr>
      <w:r>
        <w:rPr>
          <w:rFonts w:hint="eastAsia"/>
          <w:b/>
          <w:sz w:val="24"/>
          <w:u w:val="single"/>
        </w:rPr>
        <w:t>中国古代文学</w:t>
      </w:r>
      <w:r w:rsidR="007E20DB">
        <w:rPr>
          <w:rFonts w:hint="eastAsia"/>
          <w:b/>
          <w:sz w:val="24"/>
          <w:u w:val="single"/>
        </w:rPr>
        <w:t>复习资料</w:t>
      </w:r>
    </w:p>
    <w:p w:rsidR="00CF6650" w:rsidRPr="007937AE" w:rsidRDefault="0094049F">
      <w:pPr>
        <w:spacing w:line="400" w:lineRule="exact"/>
        <w:rPr>
          <w:rFonts w:ascii="黑体" w:eastAsia="黑体" w:hAnsi="黑体"/>
          <w:sz w:val="24"/>
        </w:rPr>
      </w:pPr>
      <w:r w:rsidRPr="007937AE">
        <w:rPr>
          <w:rFonts w:ascii="黑体" w:eastAsia="黑体" w:hAnsi="黑体" w:cs="宋体" w:hint="eastAsia"/>
          <w:b/>
          <w:sz w:val="24"/>
        </w:rPr>
        <w:t>一</w:t>
      </w:r>
      <w:r w:rsidR="007937AE" w:rsidRPr="007937AE">
        <w:rPr>
          <w:rFonts w:ascii="黑体" w:eastAsia="黑体" w:hAnsi="黑体" w:cs="宋体" w:hint="eastAsia"/>
          <w:b/>
          <w:sz w:val="24"/>
        </w:rPr>
        <w:t>、</w:t>
      </w:r>
      <w:r w:rsidRPr="007937AE">
        <w:rPr>
          <w:rFonts w:ascii="黑体" w:eastAsia="黑体" w:hAnsi="黑体" w:cs="宋体" w:hint="eastAsia"/>
          <w:b/>
          <w:sz w:val="24"/>
        </w:rPr>
        <w:t>选择题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1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>“饭疏食，饮水，曲肱而枕之，乐亦在其中矣。”一语出自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A、孔子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B、庄子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C、老子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D、荀子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2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>“不义而富且贵，于我如浮云。”一语出自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A、孔子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B、庄子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C、老子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D、荀子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3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>“寓真于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诞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，寓实于玄”是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表达哲学思想的主要特点。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 、孟子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B、庄子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C、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老子      D、荀子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4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.（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的说理不以逻辑推理为主，而是表现出形象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恢诡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的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论辨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风格。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Ａ、孟子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Ｂ、庄子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Ｃ、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老子      D、荀子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5</w:t>
      </w:r>
      <w:r w:rsidRPr="007937AE">
        <w:rPr>
          <w:rFonts w:asciiTheme="minorEastAsia" w:eastAsiaTheme="minorEastAsia" w:hAnsiTheme="minorEastAsia"/>
          <w:sz w:val="21"/>
          <w:szCs w:val="21"/>
        </w:rPr>
        <w:t>．秦相李斯的散文名篇是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A、《六国论》   B、《谏逐客书》   C、《论积贮疏》  D、《非十二子》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6</w:t>
      </w:r>
      <w:r w:rsidRPr="007937AE">
        <w:rPr>
          <w:rFonts w:asciiTheme="minorEastAsia" w:eastAsiaTheme="minorEastAsia" w:hAnsiTheme="minorEastAsia"/>
          <w:sz w:val="21"/>
          <w:szCs w:val="21"/>
        </w:rPr>
        <w:t>．从体式上说，贾谊的《鵩鸟赋》属于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 xml:space="preserve">A、骚体赋     B、抒情赋   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C、大赋    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/>
          <w:sz w:val="21"/>
          <w:szCs w:val="21"/>
        </w:rPr>
        <w:t>D、小赋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7</w:t>
      </w:r>
      <w:r w:rsidRPr="007937AE">
        <w:rPr>
          <w:rFonts w:asciiTheme="minorEastAsia" w:eastAsiaTheme="minorEastAsia" w:hAnsiTheme="minorEastAsia"/>
          <w:sz w:val="21"/>
          <w:szCs w:val="21"/>
        </w:rPr>
        <w:t>．东汉赋创作的演变趋势是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A、由骚体赋向大赋转变        B、由小赋向京都赋转变</w:t>
      </w:r>
    </w:p>
    <w:p w:rsidR="00CF6650" w:rsidRPr="007937AE" w:rsidRDefault="0094049F">
      <w:pPr>
        <w:pStyle w:val="a5"/>
        <w:spacing w:before="0" w:after="0" w:line="4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C、由大赋向抒情小赋转变      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</w:t>
      </w:r>
      <w:r w:rsidRPr="007937AE">
        <w:rPr>
          <w:rFonts w:asciiTheme="minorEastAsia" w:eastAsiaTheme="minorEastAsia" w:hAnsiTheme="minorEastAsia"/>
          <w:sz w:val="21"/>
          <w:szCs w:val="21"/>
        </w:rPr>
        <w:t>D、由述志赋向咏物赋转变</w:t>
      </w:r>
    </w:p>
    <w:p w:rsidR="00CF6650" w:rsidRPr="007937AE" w:rsidRDefault="0094049F">
      <w:pPr>
        <w:pStyle w:val="a5"/>
        <w:spacing w:before="0" w:after="0" w:line="400" w:lineRule="atLeast"/>
        <w:ind w:left="0"/>
        <w:jc w:val="both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8.</w:t>
      </w:r>
      <w:r w:rsidRPr="007937AE">
        <w:rPr>
          <w:rFonts w:asciiTheme="minorEastAsia" w:eastAsiaTheme="minorEastAsia" w:hAnsiTheme="minorEastAsia"/>
          <w:sz w:val="21"/>
          <w:szCs w:val="21"/>
        </w:rPr>
        <w:t>下列作品不属于白居易的作品有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jc w:val="both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 xml:space="preserve"> A、《轻肥》   B、《卖炭翁》   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</w:t>
      </w:r>
      <w:r w:rsidRPr="007937AE">
        <w:rPr>
          <w:rFonts w:asciiTheme="minorEastAsia" w:eastAsiaTheme="minorEastAsia" w:hAnsiTheme="minorEastAsia"/>
          <w:sz w:val="21"/>
          <w:szCs w:val="21"/>
        </w:rPr>
        <w:t>C、《买花》   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D、《舂陵行》。</w:t>
      </w:r>
    </w:p>
    <w:p w:rsidR="00CF6650" w:rsidRPr="007937AE" w:rsidRDefault="0094049F">
      <w:pPr>
        <w:pStyle w:val="a5"/>
        <w:spacing w:before="0" w:after="0" w:line="400" w:lineRule="atLeast"/>
        <w:ind w:left="0"/>
        <w:jc w:val="both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9.</w:t>
      </w:r>
      <w:r w:rsidRPr="007937AE">
        <w:rPr>
          <w:rFonts w:asciiTheme="minorEastAsia" w:eastAsiaTheme="minorEastAsia" w:hAnsiTheme="minorEastAsia"/>
          <w:sz w:val="21"/>
          <w:szCs w:val="21"/>
        </w:rPr>
        <w:t>下列诗句中不属于杜甫作品的有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jc w:val="both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A、万里悲秋常作客，百年多病独登台。 B、香雾云鬟湿，清辉玉臂寒。</w:t>
      </w:r>
    </w:p>
    <w:p w:rsidR="00CF6650" w:rsidRPr="007937AE" w:rsidRDefault="0094049F">
      <w:pPr>
        <w:pStyle w:val="a5"/>
        <w:spacing w:before="0" w:after="0" w:line="400" w:lineRule="atLeast"/>
        <w:ind w:left="0"/>
        <w:jc w:val="both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 xml:space="preserve">C、夜阑更秉烛，相对如梦寐。   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</w:t>
      </w:r>
      <w:r w:rsidRPr="007937AE">
        <w:rPr>
          <w:rFonts w:asciiTheme="minorEastAsia" w:eastAsiaTheme="minorEastAsia" w:hAnsiTheme="minorEastAsia"/>
          <w:sz w:val="21"/>
          <w:szCs w:val="21"/>
        </w:rPr>
        <w:t>D、一丛深色花，十户中人赋。</w:t>
      </w:r>
    </w:p>
    <w:p w:rsidR="00CF6650" w:rsidRPr="007937AE" w:rsidRDefault="0094049F">
      <w:pPr>
        <w:pStyle w:val="a5"/>
        <w:spacing w:before="0" w:after="0" w:line="400" w:lineRule="atLeast"/>
        <w:ind w:left="0"/>
        <w:jc w:val="both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10.</w:t>
      </w:r>
      <w:r w:rsidRPr="007937AE">
        <w:rPr>
          <w:rFonts w:asciiTheme="minorEastAsia" w:eastAsiaTheme="minorEastAsia" w:hAnsiTheme="minorEastAsia"/>
          <w:sz w:val="21"/>
          <w:szCs w:val="21"/>
        </w:rPr>
        <w:t>下列诗句把不属于王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维作品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的有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（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 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）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A、草枯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鹰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眼疾，雪尽马蹄轻。  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B、劝君更尽一杯酒，西出阳关无故人。 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 xml:space="preserve">     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C、月出惊山鸟，时鸣春涧中。   D、东林精舍近，日暮但闻钟。</w:t>
      </w:r>
    </w:p>
    <w:p w:rsidR="00CF6650" w:rsidRPr="007937AE" w:rsidRDefault="00CF6650">
      <w:pPr>
        <w:rPr>
          <w:rFonts w:asciiTheme="minorEastAsia" w:eastAsiaTheme="minorEastAsia" w:hAnsiTheme="minorEastAsia"/>
          <w:szCs w:val="21"/>
        </w:rPr>
      </w:pPr>
    </w:p>
    <w:p w:rsidR="00CF6650" w:rsidRPr="007937AE" w:rsidRDefault="0094049F" w:rsidP="007937AE">
      <w:pPr>
        <w:spacing w:line="400" w:lineRule="exact"/>
        <w:rPr>
          <w:rFonts w:ascii="黑体" w:eastAsia="黑体" w:hAnsi="黑体" w:cs="宋体"/>
          <w:b/>
          <w:sz w:val="24"/>
        </w:rPr>
      </w:pPr>
      <w:r w:rsidRPr="007937AE">
        <w:rPr>
          <w:rFonts w:ascii="黑体" w:eastAsia="黑体" w:hAnsi="黑体" w:cs="宋体" w:hint="eastAsia"/>
          <w:b/>
          <w:sz w:val="24"/>
        </w:rPr>
        <w:t>二</w:t>
      </w:r>
      <w:r w:rsidR="007937AE" w:rsidRPr="007937AE">
        <w:rPr>
          <w:rFonts w:ascii="黑体" w:eastAsia="黑体" w:hAnsi="黑体" w:cs="宋体" w:hint="eastAsia"/>
          <w:b/>
          <w:sz w:val="24"/>
        </w:rPr>
        <w:t>、填空题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1.</w:t>
      </w:r>
      <w:r w:rsidRPr="007937AE">
        <w:rPr>
          <w:rFonts w:asciiTheme="minorEastAsia" w:eastAsiaTheme="minorEastAsia" w:hAnsiTheme="minorEastAsia"/>
          <w:sz w:val="21"/>
          <w:szCs w:val="21"/>
        </w:rPr>
        <w:t>初唐作家中提倡“兴寄”与“风骨”的诗人是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2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>“吴楚东南坼，乾坤日夜浮”所描写的是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的景致。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3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 xml:space="preserve"> “过尽千帆皆不是，斜晖脉脉水悠悠”出自于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="004204E2" w:rsidRPr="007937AE">
        <w:rPr>
          <w:rFonts w:asciiTheme="minorEastAsia" w:eastAsiaTheme="minorEastAsia" w:hAnsiTheme="minorEastAsia" w:hint="eastAsia"/>
          <w:sz w:val="21"/>
          <w:szCs w:val="21"/>
        </w:rPr>
        <w:t>的</w:t>
      </w:r>
      <w:r w:rsidR="004204E2" w:rsidRPr="007937AE">
        <w:rPr>
          <w:rFonts w:asciiTheme="minorEastAsia" w:eastAsiaTheme="minorEastAsia" w:hAnsiTheme="minorEastAsia"/>
          <w:sz w:val="21"/>
          <w:szCs w:val="21"/>
        </w:rPr>
        <w:t>《梦江南》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4</w:t>
      </w:r>
      <w:r w:rsidRPr="007937AE">
        <w:rPr>
          <w:rFonts w:asciiTheme="minorEastAsia" w:eastAsiaTheme="minorEastAsia" w:hAnsiTheme="minorEastAsia"/>
          <w:sz w:val="21"/>
          <w:szCs w:val="21"/>
        </w:rPr>
        <w:t>．吕不韦门客集体撰写的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成书于秦王政八年（前２３９），这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部著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作体系完整，广泛吸收诸子百家的观点，客观上反映了战国末年即将实现国家统一的历史趋势。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5</w:t>
      </w:r>
      <w:r w:rsidRPr="007937AE">
        <w:rPr>
          <w:rFonts w:asciiTheme="minorEastAsia" w:eastAsiaTheme="minorEastAsia" w:hAnsiTheme="minorEastAsia"/>
          <w:sz w:val="21"/>
          <w:szCs w:val="21"/>
        </w:rPr>
        <w:t>．秦代唯一有作品流传下来的文人是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，他的《谏逐客书》铺陈排比，纵横议论，逻辑性强，富有文采。</w:t>
      </w:r>
    </w:p>
    <w:p w:rsidR="004204E2" w:rsidRPr="007937AE" w:rsidRDefault="004204E2" w:rsidP="004204E2">
      <w:pPr>
        <w:pStyle w:val="a5"/>
        <w:spacing w:before="0" w:after="0" w:line="2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lastRenderedPageBreak/>
        <w:t>6</w:t>
      </w:r>
      <w:r w:rsidRPr="007937AE">
        <w:rPr>
          <w:rFonts w:asciiTheme="minorEastAsia" w:eastAsiaTheme="minorEastAsia" w:hAnsiTheme="minorEastAsia"/>
          <w:sz w:val="21"/>
          <w:szCs w:val="21"/>
        </w:rPr>
        <w:t>．汉宣帝时，宫中曾经用诵读奇文及自己作品的方法为宣帝的太子、亦即后来的元帝治病解闷的方法，这种精神疗法效果明显，不但太子得以康复，而且经他倡导在后宫形成了诵读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的风气。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7</w:t>
      </w:r>
      <w:r w:rsidRPr="007937AE">
        <w:rPr>
          <w:rFonts w:asciiTheme="minorEastAsia" w:eastAsiaTheme="minorEastAsia" w:hAnsiTheme="minorEastAsia"/>
          <w:sz w:val="21"/>
          <w:szCs w:val="21"/>
        </w:rPr>
        <w:t>．文坛在经历了</w:t>
      </w:r>
      <w:proofErr w:type="gramStart"/>
      <w:r w:rsidRPr="007937AE">
        <w:rPr>
          <w:rFonts w:asciiTheme="minorEastAsia" w:eastAsiaTheme="minorEastAsia" w:hAnsiTheme="minorEastAsia"/>
          <w:sz w:val="21"/>
          <w:szCs w:val="21"/>
        </w:rPr>
        <w:t>秦代和</w:t>
      </w:r>
      <w:proofErr w:type="gramEnd"/>
      <w:r w:rsidRPr="007937AE">
        <w:rPr>
          <w:rFonts w:asciiTheme="minorEastAsia" w:eastAsiaTheme="minorEastAsia" w:hAnsiTheme="minorEastAsia"/>
          <w:sz w:val="21"/>
          <w:szCs w:val="21"/>
        </w:rPr>
        <w:t>汉初的沉寂之后，到西汉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时期作家群体再度生成，并且随着时间的推移</w:t>
      </w:r>
      <w:hyperlink r:id="rId8" w:history="1">
        <w:r w:rsidRPr="007937AE">
          <w:rPr>
            <w:rStyle w:val="a6"/>
            <w:rFonts w:asciiTheme="minorEastAsia" w:eastAsiaTheme="minorEastAsia" w:hAnsiTheme="minorEastAsia"/>
            <w:sz w:val="21"/>
            <w:szCs w:val="21"/>
          </w:rPr>
          <w:t>生生不已</w:t>
        </w:r>
      </w:hyperlink>
      <w:r w:rsidRPr="007937AE">
        <w:rPr>
          <w:rFonts w:asciiTheme="minorEastAsia" w:eastAsiaTheme="minorEastAsia" w:hAnsiTheme="minorEastAsia"/>
          <w:sz w:val="21"/>
          <w:szCs w:val="21"/>
        </w:rPr>
        <w:t>，人才辈出。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8.</w:t>
      </w:r>
      <w:r w:rsidRPr="007937AE">
        <w:rPr>
          <w:rFonts w:asciiTheme="minorEastAsia" w:eastAsiaTheme="minorEastAsia" w:hAnsiTheme="minorEastAsia"/>
          <w:sz w:val="21"/>
          <w:szCs w:val="21"/>
        </w:rPr>
        <w:t>中国最初的诗歌是和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结合在一起的</w:t>
      </w:r>
    </w:p>
    <w:p w:rsidR="00CF6650" w:rsidRPr="007937AE" w:rsidRDefault="0094049F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9.</w:t>
      </w:r>
      <w:r w:rsidR="00FC298D" w:rsidRPr="007937AE">
        <w:rPr>
          <w:rFonts w:asciiTheme="minorEastAsia" w:eastAsiaTheme="minorEastAsia" w:hAnsiTheme="minorEastAsia"/>
          <w:sz w:val="21"/>
          <w:szCs w:val="21"/>
        </w:rPr>
        <w:t xml:space="preserve"> 我国第一部国别史是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。</w:t>
      </w:r>
    </w:p>
    <w:p w:rsidR="00CF6650" w:rsidRDefault="0094049F" w:rsidP="008A3669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10.</w:t>
      </w:r>
      <w:r w:rsidRPr="007937AE">
        <w:rPr>
          <w:rFonts w:asciiTheme="minorEastAsia" w:eastAsiaTheme="minorEastAsia" w:hAnsiTheme="minorEastAsia"/>
          <w:sz w:val="21"/>
          <w:szCs w:val="21"/>
        </w:rPr>
        <w:t>《弹歌》是一首</w:t>
      </w:r>
      <w:r w:rsidRPr="007937AE">
        <w:rPr>
          <w:rFonts w:asciiTheme="minorEastAsia" w:eastAsiaTheme="minorEastAsia" w:hAnsiTheme="minorEastAsia" w:hint="eastAsia"/>
          <w:sz w:val="21"/>
          <w:szCs w:val="21"/>
          <w:u w:val="single"/>
        </w:rPr>
        <w:t xml:space="preserve">           </w:t>
      </w:r>
      <w:r w:rsidRPr="007937AE">
        <w:rPr>
          <w:rFonts w:asciiTheme="minorEastAsia" w:eastAsiaTheme="minorEastAsia" w:hAnsiTheme="minorEastAsia"/>
          <w:sz w:val="21"/>
          <w:szCs w:val="21"/>
        </w:rPr>
        <w:t>言诗。</w:t>
      </w:r>
    </w:p>
    <w:p w:rsidR="008A3669" w:rsidRPr="008A3669" w:rsidRDefault="008A3669" w:rsidP="008A3669">
      <w:pPr>
        <w:pStyle w:val="a5"/>
        <w:spacing w:before="0" w:after="0" w:line="4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</w:p>
    <w:p w:rsidR="00CF6650" w:rsidRPr="007937AE" w:rsidRDefault="0094049F">
      <w:pPr>
        <w:spacing w:line="400" w:lineRule="exact"/>
        <w:rPr>
          <w:rFonts w:ascii="黑体" w:eastAsia="黑体" w:hAnsi="黑体" w:cs="宋体"/>
          <w:b/>
          <w:sz w:val="24"/>
        </w:rPr>
      </w:pPr>
      <w:r w:rsidRPr="007937AE">
        <w:rPr>
          <w:rFonts w:ascii="黑体" w:eastAsia="黑体" w:hAnsi="黑体" w:cs="宋体" w:hint="eastAsia"/>
          <w:b/>
          <w:sz w:val="24"/>
        </w:rPr>
        <w:t>三</w:t>
      </w:r>
      <w:r w:rsidR="007937AE" w:rsidRPr="007937AE">
        <w:rPr>
          <w:rFonts w:ascii="黑体" w:eastAsia="黑体" w:hAnsi="黑体" w:cs="宋体" w:hint="eastAsia"/>
          <w:b/>
          <w:sz w:val="24"/>
        </w:rPr>
        <w:t>、</w:t>
      </w:r>
      <w:r w:rsidRPr="007937AE">
        <w:rPr>
          <w:rFonts w:ascii="黑体" w:eastAsia="黑体" w:hAnsi="黑体" w:cs="宋体" w:hint="eastAsia"/>
          <w:b/>
          <w:sz w:val="24"/>
        </w:rPr>
        <w:t>名词解释</w:t>
      </w:r>
    </w:p>
    <w:p w:rsidR="00CF6650" w:rsidRPr="007937AE" w:rsidRDefault="0094049F">
      <w:pPr>
        <w:pStyle w:val="a5"/>
        <w:spacing w:before="0" w:after="0" w:line="2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1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>四家诗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:</w:t>
      </w:r>
    </w:p>
    <w:p w:rsidR="00CF6650" w:rsidRPr="007937AE" w:rsidRDefault="0094049F" w:rsidP="007E20DB">
      <w:pPr>
        <w:pStyle w:val="a5"/>
        <w:spacing w:before="0" w:after="0" w:line="200" w:lineRule="atLeast"/>
        <w:ind w:left="0"/>
        <w:outlineLvl w:val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/>
          <w:sz w:val="21"/>
          <w:szCs w:val="21"/>
        </w:rPr>
        <w:t>2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.</w:t>
      </w:r>
      <w:r w:rsidRPr="007937AE">
        <w:rPr>
          <w:rFonts w:asciiTheme="minorEastAsia" w:eastAsiaTheme="minorEastAsia" w:hAnsiTheme="minorEastAsia"/>
          <w:sz w:val="21"/>
          <w:szCs w:val="21"/>
        </w:rPr>
        <w:t>诗三百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:</w:t>
      </w:r>
    </w:p>
    <w:p w:rsidR="00CF6650" w:rsidRPr="007E20DB" w:rsidRDefault="0094049F" w:rsidP="007E20DB">
      <w:pPr>
        <w:pStyle w:val="a5"/>
        <w:spacing w:before="0" w:after="0" w:line="2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3.</w:t>
      </w:r>
      <w:r w:rsidRPr="007937AE">
        <w:rPr>
          <w:rFonts w:asciiTheme="minorEastAsia" w:eastAsiaTheme="minorEastAsia" w:hAnsiTheme="minorEastAsia"/>
          <w:sz w:val="21"/>
          <w:szCs w:val="21"/>
        </w:rPr>
        <w:t>《吕氏春秋》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:</w:t>
      </w:r>
    </w:p>
    <w:p w:rsidR="00CF6650" w:rsidRPr="007937AE" w:rsidRDefault="0094049F" w:rsidP="007E20DB">
      <w:pPr>
        <w:pStyle w:val="a5"/>
        <w:spacing w:before="0" w:after="0" w:line="200" w:lineRule="atLeast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4.</w:t>
      </w:r>
      <w:r w:rsidRPr="007937AE">
        <w:rPr>
          <w:rFonts w:asciiTheme="minorEastAsia" w:eastAsiaTheme="minorEastAsia" w:hAnsiTheme="minorEastAsia"/>
          <w:sz w:val="21"/>
          <w:szCs w:val="21"/>
        </w:rPr>
        <w:t>焚书坑儒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:</w:t>
      </w:r>
    </w:p>
    <w:p w:rsidR="00CF6650" w:rsidRPr="007937AE" w:rsidRDefault="0094049F">
      <w:pPr>
        <w:pStyle w:val="a5"/>
        <w:tabs>
          <w:tab w:val="left" w:pos="342"/>
        </w:tabs>
        <w:spacing w:before="0" w:after="0" w:line="200" w:lineRule="atLeast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5.</w:t>
      </w:r>
      <w:r w:rsidRPr="007937AE">
        <w:rPr>
          <w:rFonts w:asciiTheme="minorEastAsia" w:eastAsiaTheme="minorEastAsia" w:hAnsiTheme="minorEastAsia"/>
          <w:sz w:val="21"/>
          <w:szCs w:val="21"/>
        </w:rPr>
        <w:t>初唐四杰</w:t>
      </w:r>
      <w:r w:rsidRPr="007937AE">
        <w:rPr>
          <w:rFonts w:asciiTheme="minorEastAsia" w:eastAsiaTheme="minorEastAsia" w:hAnsiTheme="minorEastAsia" w:hint="eastAsia"/>
          <w:sz w:val="21"/>
          <w:szCs w:val="21"/>
        </w:rPr>
        <w:t>:</w:t>
      </w:r>
    </w:p>
    <w:p w:rsidR="00CF6650" w:rsidRPr="007937AE" w:rsidRDefault="0094049F" w:rsidP="007937AE">
      <w:pPr>
        <w:spacing w:line="400" w:lineRule="exact"/>
        <w:rPr>
          <w:rFonts w:ascii="黑体" w:eastAsia="黑体" w:hAnsi="黑体" w:cs="宋体"/>
          <w:b/>
          <w:sz w:val="24"/>
        </w:rPr>
      </w:pPr>
      <w:r w:rsidRPr="007937AE">
        <w:rPr>
          <w:rFonts w:ascii="黑体" w:eastAsia="黑体" w:hAnsi="黑体" w:cs="宋体" w:hint="eastAsia"/>
          <w:b/>
          <w:sz w:val="24"/>
        </w:rPr>
        <w:t>四</w:t>
      </w:r>
      <w:r w:rsidR="007937AE" w:rsidRPr="007937AE">
        <w:rPr>
          <w:rFonts w:ascii="黑体" w:eastAsia="黑体" w:hAnsi="黑体" w:cs="宋体" w:hint="eastAsia"/>
          <w:b/>
          <w:sz w:val="24"/>
        </w:rPr>
        <w:t>、</w:t>
      </w:r>
      <w:r w:rsidRPr="007937AE">
        <w:rPr>
          <w:rFonts w:ascii="黑体" w:eastAsia="黑体" w:hAnsi="黑体" w:cs="宋体" w:hint="eastAsia"/>
          <w:b/>
          <w:sz w:val="24"/>
        </w:rPr>
        <w:t>简答题</w:t>
      </w:r>
    </w:p>
    <w:p w:rsidR="008A3669" w:rsidRPr="007E20DB" w:rsidRDefault="0094049F">
      <w:pPr>
        <w:pStyle w:val="a5"/>
        <w:spacing w:before="0" w:after="0" w:line="2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1.</w:t>
      </w:r>
      <w:r w:rsidRPr="007937AE">
        <w:rPr>
          <w:rFonts w:asciiTheme="minorEastAsia" w:eastAsiaTheme="minorEastAsia" w:hAnsiTheme="minorEastAsia"/>
          <w:sz w:val="21"/>
          <w:szCs w:val="21"/>
        </w:rPr>
        <w:t>《离骚》最引人注目的是哪两类意象？在诗中起什么作用？ </w:t>
      </w:r>
    </w:p>
    <w:p w:rsidR="00CF6650" w:rsidRPr="007937AE" w:rsidRDefault="0094049F">
      <w:pPr>
        <w:pStyle w:val="a5"/>
        <w:spacing w:before="0" w:after="0" w:line="200" w:lineRule="atLeast"/>
        <w:ind w:left="0"/>
        <w:rPr>
          <w:rFonts w:asciiTheme="minorEastAsia" w:eastAsiaTheme="minorEastAsia" w:hAnsiTheme="minorEastAsia"/>
          <w:sz w:val="21"/>
          <w:szCs w:val="21"/>
        </w:rPr>
      </w:pPr>
      <w:r w:rsidRPr="007937AE">
        <w:rPr>
          <w:rFonts w:asciiTheme="minorEastAsia" w:eastAsiaTheme="minorEastAsia" w:hAnsiTheme="minorEastAsia" w:hint="eastAsia"/>
          <w:sz w:val="21"/>
          <w:szCs w:val="21"/>
        </w:rPr>
        <w:t>2.</w:t>
      </w:r>
      <w:r w:rsidRPr="007937AE">
        <w:rPr>
          <w:rFonts w:asciiTheme="minorEastAsia" w:eastAsiaTheme="minorEastAsia" w:hAnsiTheme="minorEastAsia"/>
          <w:sz w:val="21"/>
          <w:szCs w:val="21"/>
        </w:rPr>
        <w:t>钟嵘是如何评价曹植的诗歌的?如何理解?</w:t>
      </w:r>
    </w:p>
    <w:p w:rsidR="00CF6650" w:rsidRDefault="00CF6650">
      <w:pPr>
        <w:jc w:val="left"/>
        <w:rPr>
          <w:rFonts w:hint="eastAsia"/>
          <w:szCs w:val="21"/>
        </w:rPr>
      </w:pPr>
    </w:p>
    <w:p w:rsidR="007E20DB" w:rsidRDefault="007E20DB">
      <w:pPr>
        <w:jc w:val="left"/>
        <w:rPr>
          <w:rFonts w:hint="eastAsia"/>
          <w:szCs w:val="21"/>
        </w:rPr>
      </w:pPr>
    </w:p>
    <w:p w:rsidR="007E20DB" w:rsidRDefault="007E20DB">
      <w:pPr>
        <w:jc w:val="left"/>
        <w:rPr>
          <w:rFonts w:hint="eastAsia"/>
          <w:szCs w:val="21"/>
        </w:rPr>
      </w:pPr>
    </w:p>
    <w:p w:rsidR="007E20DB" w:rsidRDefault="007E20DB" w:rsidP="007E20DB">
      <w:pPr>
        <w:spacing w:line="280" w:lineRule="exact"/>
        <w:ind w:firstLineChars="1100" w:firstLine="2650"/>
        <w:rPr>
          <w:rFonts w:hint="eastAsia"/>
          <w:b/>
          <w:sz w:val="24"/>
          <w:u w:val="single"/>
        </w:rPr>
      </w:pPr>
      <w:r>
        <w:rPr>
          <w:rFonts w:hint="eastAsia"/>
          <w:b/>
          <w:sz w:val="24"/>
          <w:u w:val="single"/>
        </w:rPr>
        <w:t>中国古代文学复习资料答案</w:t>
      </w:r>
    </w:p>
    <w:p w:rsidR="007E20DB" w:rsidRPr="007E20DB" w:rsidRDefault="007E20DB" w:rsidP="007E20DB">
      <w:pPr>
        <w:spacing w:line="280" w:lineRule="exact"/>
        <w:rPr>
          <w:rFonts w:ascii="新宋体" w:eastAsia="新宋体" w:hAnsi="新宋体"/>
          <w:szCs w:val="21"/>
        </w:rPr>
      </w:pPr>
    </w:p>
    <w:p w:rsidR="007E20DB" w:rsidRDefault="007E20DB" w:rsidP="007E20DB">
      <w:pPr>
        <w:numPr>
          <w:ilvl w:val="0"/>
          <w:numId w:val="1"/>
        </w:numPr>
        <w:adjustRightInd w:val="0"/>
        <w:snapToGrid w:val="0"/>
        <w:spacing w:line="280" w:lineRule="exact"/>
        <w:rPr>
          <w:rFonts w:ascii="宋体" w:hAnsi="宋体" w:cs="宋体"/>
          <w:b/>
          <w:sz w:val="24"/>
        </w:rPr>
      </w:pPr>
      <w:r>
        <w:rPr>
          <w:rFonts w:ascii="宋体" w:hAnsi="宋体" w:cs="宋体" w:hint="eastAsia"/>
          <w:b/>
          <w:sz w:val="24"/>
        </w:rPr>
        <w:t>选择题</w:t>
      </w:r>
    </w:p>
    <w:p w:rsidR="007E20DB" w:rsidRDefault="007E20DB" w:rsidP="007E20DB">
      <w:pPr>
        <w:numPr>
          <w:ilvl w:val="0"/>
          <w:numId w:val="2"/>
        </w:numPr>
        <w:adjustRightInd w:val="0"/>
        <w:snapToGrid w:val="0"/>
        <w:spacing w:line="280" w:lineRule="exact"/>
        <w:rPr>
          <w:sz w:val="24"/>
        </w:rPr>
      </w:pPr>
      <w:r>
        <w:rPr>
          <w:sz w:val="24"/>
        </w:rPr>
        <w:t>A</w:t>
      </w:r>
      <w:r>
        <w:rPr>
          <w:rFonts w:hint="eastAsia"/>
          <w:sz w:val="24"/>
        </w:rPr>
        <w:t>、</w:t>
      </w:r>
      <w:r>
        <w:rPr>
          <w:sz w:val="24"/>
        </w:rPr>
        <w:t>2</w:t>
      </w:r>
      <w:r>
        <w:rPr>
          <w:rFonts w:hint="eastAsia"/>
          <w:sz w:val="24"/>
        </w:rPr>
        <w:t>.</w:t>
      </w:r>
      <w:r>
        <w:rPr>
          <w:sz w:val="24"/>
        </w:rPr>
        <w:t>A</w:t>
      </w:r>
      <w:r>
        <w:rPr>
          <w:sz w:val="24"/>
        </w:rPr>
        <w:t>、</w:t>
      </w:r>
      <w:r>
        <w:rPr>
          <w:rFonts w:hint="eastAsia"/>
          <w:sz w:val="24"/>
        </w:rPr>
        <w:t>3.</w:t>
      </w:r>
      <w:r>
        <w:rPr>
          <w:sz w:val="24"/>
        </w:rPr>
        <w:t>B</w:t>
      </w:r>
      <w:r>
        <w:rPr>
          <w:sz w:val="24"/>
        </w:rPr>
        <w:t>、</w:t>
      </w:r>
      <w:r>
        <w:rPr>
          <w:sz w:val="24"/>
        </w:rPr>
        <w:t>4</w:t>
      </w:r>
      <w:r>
        <w:rPr>
          <w:rFonts w:hint="eastAsia"/>
          <w:sz w:val="24"/>
        </w:rPr>
        <w:t>.</w:t>
      </w:r>
      <w:r>
        <w:rPr>
          <w:sz w:val="24"/>
        </w:rPr>
        <w:t>B</w:t>
      </w:r>
      <w:r>
        <w:rPr>
          <w:sz w:val="24"/>
        </w:rPr>
        <w:t>、</w:t>
      </w:r>
      <w:r>
        <w:rPr>
          <w:rFonts w:hint="eastAsia"/>
          <w:sz w:val="24"/>
        </w:rPr>
        <w:t>5.</w:t>
      </w:r>
      <w:r>
        <w:rPr>
          <w:sz w:val="24"/>
        </w:rPr>
        <w:t>B</w:t>
      </w:r>
      <w:r>
        <w:rPr>
          <w:sz w:val="24"/>
        </w:rPr>
        <w:t>、</w:t>
      </w:r>
      <w:r>
        <w:rPr>
          <w:rFonts w:hint="eastAsia"/>
          <w:sz w:val="24"/>
        </w:rPr>
        <w:t>6.</w:t>
      </w:r>
      <w:r>
        <w:rPr>
          <w:sz w:val="24"/>
        </w:rPr>
        <w:t>A</w:t>
      </w:r>
      <w:r>
        <w:rPr>
          <w:sz w:val="24"/>
        </w:rPr>
        <w:t>、</w:t>
      </w:r>
      <w:r>
        <w:rPr>
          <w:rFonts w:hint="eastAsia"/>
          <w:sz w:val="24"/>
        </w:rPr>
        <w:t>7.</w:t>
      </w:r>
      <w:r>
        <w:rPr>
          <w:sz w:val="24"/>
        </w:rPr>
        <w:t>C</w:t>
      </w:r>
      <w:r>
        <w:rPr>
          <w:sz w:val="24"/>
        </w:rPr>
        <w:t>、</w:t>
      </w:r>
      <w:r>
        <w:rPr>
          <w:rFonts w:hint="eastAsia"/>
          <w:sz w:val="24"/>
        </w:rPr>
        <w:t>8.</w:t>
      </w:r>
      <w:r>
        <w:rPr>
          <w:sz w:val="24"/>
        </w:rPr>
        <w:t>D</w:t>
      </w:r>
      <w:r>
        <w:rPr>
          <w:sz w:val="24"/>
        </w:rPr>
        <w:t>、</w:t>
      </w:r>
      <w:r>
        <w:rPr>
          <w:rFonts w:hint="eastAsia"/>
          <w:sz w:val="24"/>
        </w:rPr>
        <w:t>9.</w:t>
      </w:r>
      <w:r>
        <w:rPr>
          <w:sz w:val="24"/>
        </w:rPr>
        <w:t>D</w:t>
      </w:r>
      <w:r>
        <w:rPr>
          <w:sz w:val="24"/>
        </w:rPr>
        <w:t>、</w:t>
      </w:r>
      <w:r>
        <w:rPr>
          <w:rFonts w:hint="eastAsia"/>
          <w:sz w:val="24"/>
        </w:rPr>
        <w:t>10.</w:t>
      </w:r>
      <w:r>
        <w:rPr>
          <w:sz w:val="24"/>
        </w:rPr>
        <w:t>D</w:t>
      </w:r>
      <w:r>
        <w:rPr>
          <w:sz w:val="24"/>
        </w:rPr>
        <w:t>、</w:t>
      </w:r>
    </w:p>
    <w:p w:rsidR="007E20DB" w:rsidRDefault="007E20DB" w:rsidP="007E20DB">
      <w:pPr>
        <w:adjustRightInd w:val="0"/>
        <w:snapToGrid w:val="0"/>
        <w:spacing w:line="280" w:lineRule="exact"/>
        <w:rPr>
          <w:sz w:val="24"/>
        </w:rPr>
      </w:pPr>
    </w:p>
    <w:p w:rsidR="007E20DB" w:rsidRDefault="007E20DB" w:rsidP="007E20DB">
      <w:pPr>
        <w:numPr>
          <w:ilvl w:val="0"/>
          <w:numId w:val="1"/>
        </w:numPr>
        <w:adjustRightInd w:val="0"/>
        <w:snapToGrid w:val="0"/>
        <w:spacing w:line="280" w:lineRule="exact"/>
        <w:rPr>
          <w:b/>
          <w:sz w:val="24"/>
        </w:rPr>
      </w:pPr>
      <w:r>
        <w:rPr>
          <w:rFonts w:hint="eastAsia"/>
          <w:b/>
          <w:sz w:val="24"/>
        </w:rPr>
        <w:t>填空题</w:t>
      </w:r>
    </w:p>
    <w:p w:rsidR="007E20DB" w:rsidRDefault="007E20DB" w:rsidP="007E20DB">
      <w:pPr>
        <w:adjustRightInd w:val="0"/>
        <w:snapToGrid w:val="0"/>
        <w:spacing w:line="280" w:lineRule="exact"/>
        <w:rPr>
          <w:b/>
          <w:sz w:val="24"/>
        </w:rPr>
      </w:pPr>
      <w:r>
        <w:rPr>
          <w:sz w:val="24"/>
        </w:rPr>
        <w:t>1</w:t>
      </w:r>
      <w:r>
        <w:rPr>
          <w:rFonts w:hint="eastAsia"/>
          <w:sz w:val="24"/>
        </w:rPr>
        <w:t>.</w:t>
      </w:r>
      <w:r>
        <w:rPr>
          <w:sz w:val="24"/>
        </w:rPr>
        <w:t>陈子昂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2.</w:t>
      </w:r>
      <w:r>
        <w:rPr>
          <w:sz w:val="24"/>
        </w:rPr>
        <w:t>洞庭湖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 xml:space="preserve"> </w:t>
      </w:r>
      <w:r>
        <w:rPr>
          <w:sz w:val="24"/>
        </w:rPr>
        <w:t>3</w:t>
      </w:r>
      <w:r>
        <w:rPr>
          <w:rFonts w:hint="eastAsia"/>
          <w:sz w:val="24"/>
        </w:rPr>
        <w:t>.</w:t>
      </w:r>
      <w:r>
        <w:rPr>
          <w:sz w:val="24"/>
        </w:rPr>
        <w:t>温庭筠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4</w:t>
      </w:r>
      <w:r>
        <w:rPr>
          <w:sz w:val="24"/>
        </w:rPr>
        <w:t>．《吕氏春秋》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5</w:t>
      </w:r>
      <w:r>
        <w:rPr>
          <w:sz w:val="24"/>
        </w:rPr>
        <w:t>．李斯</w:t>
      </w:r>
      <w:r>
        <w:rPr>
          <w:rFonts w:hint="eastAsia"/>
          <w:sz w:val="24"/>
        </w:rPr>
        <w:t>、</w:t>
      </w:r>
      <w:r>
        <w:rPr>
          <w:rFonts w:hint="eastAsia"/>
        </w:rPr>
        <w:t>6</w:t>
      </w:r>
      <w:r>
        <w:t>．王褒赋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7</w:t>
      </w:r>
      <w:r>
        <w:rPr>
          <w:sz w:val="24"/>
        </w:rPr>
        <w:t>．文帝和景帝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8.</w:t>
      </w:r>
      <w:r>
        <w:rPr>
          <w:sz w:val="24"/>
        </w:rPr>
        <w:t>歌舞</w:t>
      </w:r>
      <w:r>
        <w:rPr>
          <w:rFonts w:hint="eastAsia"/>
          <w:sz w:val="24"/>
        </w:rPr>
        <w:t>、</w:t>
      </w:r>
      <w:r>
        <w:rPr>
          <w:rFonts w:hint="eastAsia"/>
          <w:sz w:val="24"/>
        </w:rPr>
        <w:t>9.</w:t>
      </w:r>
      <w:r>
        <w:rPr>
          <w:rFonts w:hint="eastAsia"/>
          <w:sz w:val="24"/>
        </w:rPr>
        <w:t>国语、</w:t>
      </w:r>
      <w:r>
        <w:rPr>
          <w:rFonts w:hint="eastAsia"/>
          <w:sz w:val="24"/>
        </w:rPr>
        <w:t>10.</w:t>
      </w:r>
      <w:r>
        <w:rPr>
          <w:rFonts w:hint="eastAsia"/>
          <w:sz w:val="24"/>
        </w:rPr>
        <w:t>二、</w:t>
      </w:r>
    </w:p>
    <w:p w:rsidR="007E20DB" w:rsidRDefault="007E20DB" w:rsidP="007E20DB">
      <w:pPr>
        <w:adjustRightInd w:val="0"/>
        <w:snapToGrid w:val="0"/>
        <w:spacing w:line="280" w:lineRule="exact"/>
        <w:rPr>
          <w:b/>
          <w:sz w:val="24"/>
        </w:rPr>
      </w:pPr>
    </w:p>
    <w:p w:rsidR="007E20DB" w:rsidRDefault="007E20DB" w:rsidP="007E20DB">
      <w:pPr>
        <w:numPr>
          <w:ilvl w:val="0"/>
          <w:numId w:val="1"/>
        </w:numPr>
        <w:adjustRightInd w:val="0"/>
        <w:snapToGrid w:val="0"/>
        <w:spacing w:line="280" w:lineRule="exact"/>
        <w:rPr>
          <w:b/>
          <w:sz w:val="24"/>
        </w:rPr>
      </w:pPr>
      <w:r>
        <w:rPr>
          <w:rFonts w:ascii="宋体" w:hAnsi="宋体" w:cs="宋体" w:hint="eastAsia"/>
          <w:b/>
          <w:sz w:val="24"/>
        </w:rPr>
        <w:t>名词解释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rPr>
          <w:rFonts w:hint="eastAsia"/>
        </w:rPr>
        <w:t>1.</w:t>
      </w:r>
      <w:r>
        <w:t>四家诗：汉代传授诗经的</w:t>
      </w:r>
      <w:proofErr w:type="gramStart"/>
      <w:r>
        <w:t>齐鲁韩毛四家</w:t>
      </w:r>
      <w:proofErr w:type="gramEnd"/>
      <w:r>
        <w:t>诗说的合称。后齐鲁韩三家诗亡，毛诗独存。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t>2</w:t>
      </w:r>
      <w:r>
        <w:rPr>
          <w:rFonts w:hint="eastAsia"/>
        </w:rPr>
        <w:t>.</w:t>
      </w:r>
      <w:r>
        <w:t>诗三百：诗经共有三百零五篇，</w:t>
      </w:r>
      <w:proofErr w:type="gramStart"/>
      <w:r>
        <w:t>称诗三百</w:t>
      </w:r>
      <w:proofErr w:type="gramEnd"/>
      <w:r>
        <w:t>或诗三百篇是举其成数作其代称。西汉初年，诗三百被奉为经典，才尊之为诗经。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  <w:ind w:left="74"/>
      </w:pPr>
      <w:r>
        <w:rPr>
          <w:rFonts w:hint="eastAsia"/>
        </w:rPr>
        <w:t>3</w:t>
      </w:r>
      <w:r>
        <w:t>．《吕氏春秋》：《吕氏春秋》是秦统一以前，由吕不韦召集他的门客集体编纂的。全书由十二纪、八</w:t>
      </w:r>
      <w:proofErr w:type="gramStart"/>
      <w:r>
        <w:t>览</w:t>
      </w:r>
      <w:proofErr w:type="gramEnd"/>
      <w:r>
        <w:t>、六论组成，后又简称为《吕览》，一共有二十余万字。《吕氏春秋》</w:t>
      </w:r>
      <w:bookmarkStart w:id="0" w:name="_GoBack"/>
      <w:bookmarkEnd w:id="0"/>
      <w:r>
        <w:t>博采众说，为当时秦国正在进行的统一天下的活动作理论上的论证。这部书文字朴素简练，和先秦其他的子书一样，有不少地方都是借用寓言故事来说理，因而富有文学的意味。书中保存了大量的先秦时代的文献和遗闻佚事。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rPr>
          <w:rFonts w:hint="eastAsia"/>
        </w:rPr>
        <w:t>4</w:t>
      </w:r>
      <w:r>
        <w:t>．焚书坑儒：秦始皇三十四年（公元前213年），博士</w:t>
      </w:r>
      <w:proofErr w:type="gramStart"/>
      <w:r>
        <w:t>淳于越</w:t>
      </w:r>
      <w:proofErr w:type="gramEnd"/>
      <w:r>
        <w:t>反对封建中央集权的郡县制，要求根据古制，分封子弟。丞相李斯加以驳斥，主张禁止儒生</w:t>
      </w:r>
      <w:hyperlink r:id="rId9" w:history="1">
        <w:r>
          <w:rPr>
            <w:rStyle w:val="a6"/>
            <w:sz w:val="24"/>
            <w:szCs w:val="24"/>
          </w:rPr>
          <w:t>以古非今</w:t>
        </w:r>
      </w:hyperlink>
      <w:r>
        <w:t>，以私学诽谤朝政。秦始皇采纳李斯的建议，下令：焚烧《秦记》以外</w:t>
      </w:r>
      <w:r>
        <w:lastRenderedPageBreak/>
        <w:t>的列国史记，对不属于博士官的私藏《诗》、《书》等亦限期缴出烧毁；有敢论《诗》、《书》的处死，以古非今的灭族；禁止私学，欲学法令的以吏为师。次年，卢生、侯生等方士、儒生攻击秦始皇。秦始皇派御史查究，将四百六十多名方士和儒生坑死在咸阳。史称“焚书坑儒”。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rPr>
          <w:rFonts w:hint="eastAsia"/>
          <w:bCs/>
        </w:rPr>
        <w:t>5.</w:t>
      </w:r>
      <w:r>
        <w:t>初唐四杰：指初唐诗坛上的四位诗人王勃、杨炯、卢照邻和骆宾王，他们名高而位卑，官小才大，心中充满博取功名的幻想和激情，郁积着甘居人下的雄杰之气。在诗歌创作上有着共同的追求：反对纤巧绮靡，提倡刚健骨气。诗中始见壮大的气势，具有一种慷慨悲凉的感人力量。</w:t>
      </w:r>
    </w:p>
    <w:p w:rsidR="007E20DB" w:rsidRDefault="007E20DB" w:rsidP="007E20DB">
      <w:pPr>
        <w:adjustRightInd w:val="0"/>
        <w:snapToGrid w:val="0"/>
        <w:spacing w:line="280" w:lineRule="exact"/>
        <w:rPr>
          <w:rFonts w:asciiTheme="minorEastAsia" w:hAnsiTheme="minorEastAsia" w:cstheme="minorEastAsia"/>
          <w:bCs/>
          <w:sz w:val="24"/>
        </w:rPr>
      </w:pPr>
    </w:p>
    <w:p w:rsidR="007E20DB" w:rsidRDefault="007E20DB" w:rsidP="007E20DB">
      <w:pPr>
        <w:numPr>
          <w:ilvl w:val="0"/>
          <w:numId w:val="1"/>
        </w:numPr>
        <w:adjustRightInd w:val="0"/>
        <w:snapToGrid w:val="0"/>
        <w:spacing w:line="280" w:lineRule="exact"/>
        <w:rPr>
          <w:b/>
          <w:sz w:val="24"/>
        </w:rPr>
      </w:pPr>
      <w:r>
        <w:rPr>
          <w:rFonts w:ascii="宋体" w:hAnsi="宋体" w:hint="eastAsia"/>
          <w:b/>
          <w:sz w:val="24"/>
        </w:rPr>
        <w:t>简答题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rPr>
          <w:rFonts w:hint="eastAsia"/>
        </w:rPr>
        <w:t>1.</w:t>
      </w:r>
      <w:r>
        <w:t xml:space="preserve"> 《离骚》最引人注目的是哪两类意象？在诗中起什么作用？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t>答：美人、香草。起着比喻的作用。美人或是比喻君王，或是自喻。香草在《离骚》中种类繁多，其作为装饰，支持并丰富了美人意象。同时，香草意象作为一种独立的象征物，它一方面指品德和人格的高洁；另一方面和</w:t>
      </w:r>
      <w:proofErr w:type="gramStart"/>
      <w:r>
        <w:t>恶草</w:t>
      </w:r>
      <w:proofErr w:type="gramEnd"/>
      <w:r>
        <w:t>相对，象征着政治斗争的双方。总之，《离骚》中的</w:t>
      </w:r>
      <w:hyperlink r:id="rId10" w:history="1">
        <w:r>
          <w:rPr>
            <w:rStyle w:val="a6"/>
            <w:sz w:val="24"/>
            <w:szCs w:val="24"/>
          </w:rPr>
          <w:t>香草美人</w:t>
        </w:r>
      </w:hyperlink>
      <w:r>
        <w:t>意象构成了一个复杂而巧妙的象征比喻系统，使得诗歌蕴藉而且生动。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rPr>
          <w:rFonts w:hint="eastAsia"/>
        </w:rPr>
        <w:t>2</w:t>
      </w:r>
      <w:r>
        <w:t>．钟嵘是如何评价曹植的诗歌的?如何理解?</w:t>
      </w:r>
    </w:p>
    <w:p w:rsidR="007E20DB" w:rsidRDefault="007E20DB" w:rsidP="007E20DB">
      <w:pPr>
        <w:pStyle w:val="a5"/>
        <w:adjustRightInd w:val="0"/>
        <w:snapToGrid w:val="0"/>
        <w:spacing w:before="0" w:after="0" w:line="280" w:lineRule="exact"/>
      </w:pPr>
      <w:r>
        <w:t>钟嵘称曹植诗为“骨气奇高，词采华茂”。前者主要是指曹植的诗在思想内容上具有建安风骨的精神，前期作品充满为统一天下建功立业的豪情壮志，后期满怀悲愤，总体表现出慷慨多气、主体情致充盈丰沛的特点，在建安一代中堪称代表；后者主要是指诗歌艺术形式上的美。曹植的诗艺术手段多样，</w:t>
      </w:r>
      <w:proofErr w:type="gramStart"/>
      <w:r>
        <w:t>词采丰富赡</w:t>
      </w:r>
      <w:proofErr w:type="gramEnd"/>
      <w:r>
        <w:t>丽又典雅流畅，注意字句精工，使用对仗，多用双声叠韵，讲究起调等等。可以说，曹植</w:t>
      </w:r>
      <w:proofErr w:type="gramStart"/>
      <w:r>
        <w:t>诗所有</w:t>
      </w:r>
      <w:proofErr w:type="gramEnd"/>
      <w:r>
        <w:t>的抒情性与艺术美，完成了从民歌向文人诗的转化。</w:t>
      </w:r>
    </w:p>
    <w:p w:rsidR="007E20DB" w:rsidRPr="007E20DB" w:rsidRDefault="007E20DB">
      <w:pPr>
        <w:jc w:val="left"/>
        <w:rPr>
          <w:szCs w:val="21"/>
        </w:rPr>
      </w:pPr>
    </w:p>
    <w:sectPr w:rsidR="007E20DB" w:rsidRPr="007E20DB" w:rsidSect="005D2562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E5FA3" w:rsidRDefault="008E5FA3">
      <w:r>
        <w:separator/>
      </w:r>
    </w:p>
  </w:endnote>
  <w:endnote w:type="continuationSeparator" w:id="0">
    <w:p w:rsidR="008E5FA3" w:rsidRDefault="008E5FA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新宋体">
    <w:panose1 w:val="02010609030101010101"/>
    <w:charset w:val="86"/>
    <w:family w:val="modern"/>
    <w:pitch w:val="fixed"/>
    <w:sig w:usb0="00000003" w:usb1="080E0000" w:usb2="00000010" w:usb3="00000000" w:csb0="00040001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50" w:rsidRDefault="0094049F">
    <w:pPr>
      <w:pStyle w:val="a3"/>
      <w:jc w:val="center"/>
    </w:pPr>
    <w:r>
      <w:rPr>
        <w:rFonts w:hint="eastAsia"/>
        <w:kern w:val="0"/>
        <w:szCs w:val="21"/>
      </w:rPr>
      <w:t>第</w:t>
    </w:r>
    <w:r>
      <w:rPr>
        <w:rFonts w:hint="eastAsia"/>
        <w:kern w:val="0"/>
        <w:szCs w:val="21"/>
      </w:rPr>
      <w:t xml:space="preserve"> </w:t>
    </w:r>
    <w:r w:rsidR="005D2562">
      <w:rPr>
        <w:kern w:val="0"/>
        <w:szCs w:val="21"/>
      </w:rPr>
      <w:fldChar w:fldCharType="begin"/>
    </w:r>
    <w:r>
      <w:rPr>
        <w:kern w:val="0"/>
        <w:szCs w:val="21"/>
      </w:rPr>
      <w:instrText xml:space="preserve"> PAGE </w:instrText>
    </w:r>
    <w:r w:rsidR="005D2562">
      <w:rPr>
        <w:kern w:val="0"/>
        <w:szCs w:val="21"/>
      </w:rPr>
      <w:fldChar w:fldCharType="separate"/>
    </w:r>
    <w:r w:rsidR="007E20DB">
      <w:rPr>
        <w:noProof/>
        <w:kern w:val="0"/>
        <w:szCs w:val="21"/>
      </w:rPr>
      <w:t>3</w:t>
    </w:r>
    <w:r w:rsidR="005D2562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共</w:t>
    </w:r>
    <w:r>
      <w:rPr>
        <w:rFonts w:hint="eastAsia"/>
        <w:kern w:val="0"/>
        <w:szCs w:val="21"/>
      </w:rPr>
      <w:t xml:space="preserve"> </w:t>
    </w:r>
    <w:r w:rsidR="005D2562">
      <w:rPr>
        <w:kern w:val="0"/>
        <w:szCs w:val="21"/>
      </w:rPr>
      <w:fldChar w:fldCharType="begin"/>
    </w:r>
    <w:r>
      <w:rPr>
        <w:kern w:val="0"/>
        <w:szCs w:val="21"/>
      </w:rPr>
      <w:instrText xml:space="preserve"> NUMPAGES </w:instrText>
    </w:r>
    <w:r w:rsidR="005D2562">
      <w:rPr>
        <w:kern w:val="0"/>
        <w:szCs w:val="21"/>
      </w:rPr>
      <w:fldChar w:fldCharType="separate"/>
    </w:r>
    <w:r w:rsidR="007E20DB">
      <w:rPr>
        <w:noProof/>
        <w:kern w:val="0"/>
        <w:szCs w:val="21"/>
      </w:rPr>
      <w:t>3</w:t>
    </w:r>
    <w:r w:rsidR="005D2562">
      <w:rPr>
        <w:kern w:val="0"/>
        <w:szCs w:val="21"/>
      </w:rPr>
      <w:fldChar w:fldCharType="end"/>
    </w:r>
    <w:r>
      <w:rPr>
        <w:rFonts w:hint="eastAsia"/>
        <w:kern w:val="0"/>
        <w:szCs w:val="21"/>
      </w:rPr>
      <w:t xml:space="preserve"> </w:t>
    </w:r>
    <w:r>
      <w:rPr>
        <w:rFonts w:hint="eastAsia"/>
        <w:kern w:val="0"/>
        <w:szCs w:val="21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E5FA3" w:rsidRDefault="008E5FA3">
      <w:r>
        <w:separator/>
      </w:r>
    </w:p>
  </w:footnote>
  <w:footnote w:type="continuationSeparator" w:id="0">
    <w:p w:rsidR="008E5FA3" w:rsidRDefault="008E5FA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650" w:rsidRDefault="00CF6650">
    <w:pPr>
      <w:pStyle w:val="a4"/>
      <w:jc w:val="center"/>
      <w:rPr>
        <w:rFonts w:eastAsia="仿宋_GB2312"/>
      </w:rPr>
    </w:pPr>
  </w:p>
  <w:p w:rsidR="00CF6650" w:rsidRDefault="00CF6650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C9BD4AC8"/>
    <w:multiLevelType w:val="singleLevel"/>
    <w:tmpl w:val="C9BD4AC8"/>
    <w:lvl w:ilvl="0">
      <w:start w:val="1"/>
      <w:numFmt w:val="chineseCounting"/>
      <w:lvlText w:val="%1."/>
      <w:lvlJc w:val="left"/>
      <w:pPr>
        <w:tabs>
          <w:tab w:val="left" w:pos="312"/>
        </w:tabs>
      </w:pPr>
      <w:rPr>
        <w:rFonts w:hint="eastAsia"/>
      </w:rPr>
    </w:lvl>
  </w:abstractNum>
  <w:abstractNum w:abstractNumId="1">
    <w:nsid w:val="FBAEA049"/>
    <w:multiLevelType w:val="singleLevel"/>
    <w:tmpl w:val="FBAEA049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42BE03CD"/>
    <w:rsid w:val="004204E2"/>
    <w:rsid w:val="005D2562"/>
    <w:rsid w:val="006C0881"/>
    <w:rsid w:val="007937AE"/>
    <w:rsid w:val="007E20DB"/>
    <w:rsid w:val="008A3669"/>
    <w:rsid w:val="008E5FA3"/>
    <w:rsid w:val="0094049F"/>
    <w:rsid w:val="00C52B95"/>
    <w:rsid w:val="00CF6650"/>
    <w:rsid w:val="00F8155B"/>
    <w:rsid w:val="00FC298D"/>
    <w:rsid w:val="013F40F0"/>
    <w:rsid w:val="10445E1D"/>
    <w:rsid w:val="427B113E"/>
    <w:rsid w:val="42BE03CD"/>
    <w:rsid w:val="4E9417FB"/>
    <w:rsid w:val="7D8807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 fillcolor="white">
      <v:fill color="whit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Keyboard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D2562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5D2562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rsid w:val="005D2562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a5">
    <w:name w:val="Normal (Web)"/>
    <w:basedOn w:val="a"/>
    <w:qFormat/>
    <w:rsid w:val="005D2562"/>
    <w:pPr>
      <w:widowControl/>
      <w:spacing w:before="225" w:after="225"/>
      <w:ind w:left="75"/>
      <w:jc w:val="left"/>
    </w:pPr>
    <w:rPr>
      <w:rFonts w:ascii="宋体" w:hAnsi="宋体" w:cs="宋体"/>
      <w:kern w:val="0"/>
      <w:sz w:val="24"/>
    </w:rPr>
  </w:style>
  <w:style w:type="character" w:styleId="a6">
    <w:name w:val="Hyperlink"/>
    <w:basedOn w:val="a0"/>
    <w:qFormat/>
    <w:rsid w:val="005D2562"/>
    <w:rPr>
      <w:color w:val="000000"/>
      <w:sz w:val="18"/>
      <w:szCs w:val="18"/>
      <w:u w:val="none"/>
    </w:rPr>
  </w:style>
  <w:style w:type="paragraph" w:styleId="a7">
    <w:name w:val="Balloon Text"/>
    <w:basedOn w:val="a"/>
    <w:link w:val="Char"/>
    <w:semiHidden/>
    <w:unhideWhenUsed/>
    <w:rsid w:val="007E20DB"/>
    <w:rPr>
      <w:sz w:val="18"/>
      <w:szCs w:val="18"/>
    </w:rPr>
  </w:style>
  <w:style w:type="character" w:customStyle="1" w:styleId="Char">
    <w:name w:val="批注框文本 Char"/>
    <w:basedOn w:val="a0"/>
    <w:link w:val="a7"/>
    <w:semiHidden/>
    <w:rsid w:val="007E20DB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ogou.com/sogoupedia?query=%C9%FA%C9%FA%B2%BB%D2%D1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sogou.com/sogoupedia?query=%CF%E3%B2%DD%C3%C0%C8%CB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sogou.com/sogoupedia?query=%D2%D4%B9%C5%B7%C7%BD%F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422</Words>
  <Characters>2410</Characters>
  <Application>Microsoft Office Word</Application>
  <DocSecurity>0</DocSecurity>
  <Lines>20</Lines>
  <Paragraphs>5</Paragraphs>
  <ScaleCrop>false</ScaleCrop>
  <Company/>
  <LinksUpToDate>false</LinksUpToDate>
  <CharactersWithSpaces>2827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李林峰</dc:creator>
  <cp:lastModifiedBy>zhuoyue</cp:lastModifiedBy>
  <cp:revision>7</cp:revision>
  <dcterms:created xsi:type="dcterms:W3CDTF">2020-11-09T13:07:00Z</dcterms:created>
  <dcterms:modified xsi:type="dcterms:W3CDTF">2020-12-13T05:15:00Z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2052-11.1.0.10069</vt:lpwstr>
  </property>
</Properties>
</file>