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default" w:eastAsiaTheme="minorEastAsia"/>
          <w:lang w:val="en-US" w:eastAsia="zh-CN"/>
        </w:rPr>
      </w:pPr>
      <w:r>
        <w:rPr>
          <w:rFonts w:hint="eastAsia"/>
          <w:sz w:val="32"/>
          <w:szCs w:val="32"/>
          <w:lang w:val="en-US" w:eastAsia="zh-CN"/>
        </w:rPr>
        <w:t>中级财务会计复习资料</w:t>
      </w:r>
    </w:p>
    <w:p>
      <w:pPr>
        <w:spacing w:after="156" w:afterLines="50"/>
        <w:rPr>
          <w:rFonts w:hint="eastAsia" w:ascii="宋体" w:hAnsi="宋体" w:eastAsia="宋体" w:cs="宋体"/>
          <w:b/>
          <w:bCs/>
          <w:color w:val="000000"/>
          <w:sz w:val="24"/>
        </w:rPr>
      </w:pPr>
      <w:r>
        <w:rPr>
          <w:rFonts w:hint="eastAsia" w:ascii="宋体" w:hAnsi="宋体" w:eastAsia="宋体" w:cs="宋体"/>
          <w:b/>
          <w:bCs/>
          <w:color w:val="000000"/>
          <w:sz w:val="24"/>
        </w:rPr>
        <w:t>一、单项选择题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1.下列各项企业财务管理目标中，能够同时考虑资金的时间价值和投资风险因素的是</w:t>
      </w:r>
      <w:r>
        <w:rPr>
          <w:rFonts w:hint="eastAsia" w:ascii="宋体" w:hAnsi="宋体" w:eastAsia="宋体" w:cs="宋体"/>
          <w:b w:val="0"/>
          <w:bCs/>
          <w:kern w:val="0"/>
          <w:sz w:val="21"/>
          <w:szCs w:val="21"/>
          <w:lang w:eastAsia="zh-CN"/>
        </w:rPr>
        <w:t>（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产值最大化</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利润最大化</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每股收益最大化</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 xml:space="preserve">D </w:t>
      </w:r>
      <w:r>
        <w:rPr>
          <w:rFonts w:hint="eastAsia" w:ascii="宋体" w:hAnsi="宋体" w:eastAsia="宋体" w:cs="宋体"/>
          <w:b w:val="0"/>
          <w:bCs/>
          <w:kern w:val="0"/>
          <w:sz w:val="21"/>
          <w:szCs w:val="21"/>
        </w:rPr>
        <w:t>企业价值最大化</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2.已知某公司股票的β系数为0.5，短期国债收益率为6%，市场组合收益率为10%，则该公司股票的必要收益率为</w:t>
      </w:r>
      <w:r>
        <w:rPr>
          <w:rFonts w:hint="eastAsia" w:hAnsi="宋体" w:eastAsia="宋体" w:cs="宋体"/>
          <w:b w:val="0"/>
          <w:bCs/>
          <w:kern w:val="0"/>
          <w:sz w:val="21"/>
          <w:szCs w:val="21"/>
          <w:lang w:eastAsia="zh-CN"/>
        </w:rPr>
        <w:t>（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6%</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8%</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10%</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16%</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3.</w:t>
      </w:r>
      <w:r>
        <w:rPr>
          <w:rFonts w:hint="eastAsia" w:hAnsi="宋体" w:eastAsia="宋体" w:cs="宋体"/>
          <w:b w:val="0"/>
          <w:bCs/>
          <w:spacing w:val="-6"/>
          <w:kern w:val="0"/>
          <w:sz w:val="21"/>
          <w:szCs w:val="21"/>
          <w:lang w:eastAsia="zh-CN"/>
        </w:rPr>
        <w:t>已经甲乙两个方案投资收益率的期望值分别为10%和12%，两个方案都存在投资风险，在比较甲乙两方案风险大小时应使用的指标是（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标准离差率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标准差</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协方差</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方差</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4.企业进行多元化投资，其目的之一是（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追求风险</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消除风险</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减少风险</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接受风险</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5.已知（F/A，10%，9）＝13.579，（F/A，10%，11）＝18.531，10年期，利率为10%的即付年金终值系数值为（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17.531</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15.937</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14.579</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12.579</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6.</w:t>
      </w:r>
      <w:r>
        <w:rPr>
          <w:rFonts w:hint="eastAsia" w:hAnsi="宋体" w:eastAsia="宋体" w:cs="宋体"/>
          <w:b w:val="0"/>
          <w:bCs/>
          <w:kern w:val="0"/>
          <w:sz w:val="21"/>
          <w:szCs w:val="21"/>
          <w:lang w:eastAsia="zh-CN"/>
        </w:rPr>
        <w:t>债券的年实际利息收入与买入该债券实际价格的比率是（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ind w:right="-313" w:rightChars="-149"/>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票面收益率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必要收益率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直接收益率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持有期收益率</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7.某投资项目运营期某年的总成本费用（不含财务费用）为1100万元，其中：外购原材料、燃料和动力费估算额为500万元，工资及福利费的估算额为300万元，固定资产折旧额为200万元，其他费用为100万元。据此计算的该项目当年的经营成本估算额为（   ）万元。</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1000</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900</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800</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300</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8.</w:t>
      </w:r>
      <w:r>
        <w:rPr>
          <w:rFonts w:hint="eastAsia" w:hAnsi="宋体" w:eastAsia="宋体" w:cs="宋体"/>
          <w:b w:val="0"/>
          <w:bCs/>
          <w:kern w:val="0"/>
          <w:sz w:val="21"/>
          <w:szCs w:val="21"/>
          <w:lang w:eastAsia="zh-CN"/>
        </w:rPr>
        <w:t>将证券划分为原生证券和衍生证券所依据的分类标志是（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val="en-US" w:eastAsia="zh-CN"/>
        </w:rPr>
        <w:t xml:space="preserve">A </w:t>
      </w:r>
      <w:r>
        <w:rPr>
          <w:rFonts w:hint="eastAsia" w:hAnsi="宋体" w:eastAsia="宋体" w:cs="宋体"/>
          <w:b w:val="0"/>
          <w:bCs/>
          <w:kern w:val="0"/>
          <w:sz w:val="21"/>
          <w:szCs w:val="21"/>
          <w:lang w:eastAsia="zh-CN"/>
        </w:rPr>
        <w:t>证券发行主体</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B 证券权益关系</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C 证券收益稳定状况</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D 证券收益决定因素</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9.</w:t>
      </w:r>
      <w:r>
        <w:rPr>
          <w:rFonts w:hint="eastAsia" w:hAnsi="宋体" w:eastAsia="宋体" w:cs="宋体"/>
          <w:b w:val="0"/>
          <w:bCs/>
          <w:kern w:val="0"/>
          <w:sz w:val="21"/>
          <w:szCs w:val="21"/>
          <w:lang w:eastAsia="zh-CN"/>
        </w:rPr>
        <w:t>下列各项中，可用于计算营运资金的算式是（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资产总额-负债总额</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流动资产总额-负债总额</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流动资产总额-流动负债总额</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速动资产总额-流动负债总额</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1</w:t>
      </w:r>
      <w:r>
        <w:rPr>
          <w:rFonts w:hint="eastAsia" w:hAnsi="宋体" w:eastAsia="宋体" w:cs="宋体"/>
          <w:b w:val="0"/>
          <w:bCs/>
          <w:kern w:val="0"/>
          <w:sz w:val="21"/>
          <w:szCs w:val="21"/>
          <w:lang w:val="en-US" w:eastAsia="zh-CN"/>
        </w:rPr>
        <w:t>0</w:t>
      </w:r>
      <w:r>
        <w:rPr>
          <w:rFonts w:hint="eastAsia" w:hAnsi="宋体" w:eastAsia="宋体" w:cs="宋体"/>
          <w:b w:val="0"/>
          <w:bCs/>
          <w:kern w:val="0"/>
          <w:sz w:val="21"/>
          <w:szCs w:val="21"/>
          <w:lang w:eastAsia="zh-CN"/>
        </w:rPr>
        <w:t>.信用标准是客户获得企业商业信用所具备的最低条件，通常表示为（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预期的现金折扣率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预期的坏账损失率</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现金折扣期限</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D 信用期限</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1</w:t>
      </w:r>
      <w:r>
        <w:rPr>
          <w:rFonts w:hint="eastAsia" w:hAnsi="宋体" w:eastAsia="宋体" w:cs="宋体"/>
          <w:b w:val="0"/>
          <w:bCs/>
          <w:kern w:val="0"/>
          <w:sz w:val="21"/>
          <w:szCs w:val="21"/>
          <w:lang w:val="en-US" w:eastAsia="zh-CN"/>
        </w:rPr>
        <w:t>1</w:t>
      </w:r>
      <w:r>
        <w:rPr>
          <w:rFonts w:hint="eastAsia" w:hAnsi="宋体" w:eastAsia="宋体" w:cs="宋体"/>
          <w:b w:val="0"/>
          <w:bCs/>
          <w:kern w:val="0"/>
          <w:sz w:val="21"/>
          <w:szCs w:val="21"/>
          <w:lang w:eastAsia="zh-CN"/>
        </w:rPr>
        <w:t>.</w:t>
      </w:r>
      <w:r>
        <w:rPr>
          <w:rFonts w:hint="eastAsia" w:hAnsi="宋体" w:eastAsia="宋体" w:cs="宋体"/>
          <w:b w:val="0"/>
          <w:bCs/>
          <w:spacing w:val="-6"/>
          <w:kern w:val="0"/>
          <w:sz w:val="21"/>
          <w:szCs w:val="21"/>
          <w:lang w:eastAsia="zh-CN"/>
        </w:rPr>
        <w:t>某企业需要借入资金60万元，由于贷款银行要求将贷款金额的20%作为补偿性余额，故企业需要向银行申请的贷款数额为（   ）万元。</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75</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72</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60</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50</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12.</w:t>
      </w:r>
      <w:r>
        <w:rPr>
          <w:rFonts w:hint="eastAsia" w:hAnsi="宋体" w:eastAsia="宋体" w:cs="宋体"/>
          <w:b w:val="0"/>
          <w:bCs/>
          <w:kern w:val="0"/>
          <w:sz w:val="21"/>
          <w:szCs w:val="21"/>
          <w:lang w:eastAsia="zh-CN"/>
        </w:rPr>
        <w:t>下列各项中，与丧失现金折扣的机会成本呈反向变化的是（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现金折扣率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折扣期</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信用标准</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信用期</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1</w:t>
      </w:r>
      <w:r>
        <w:rPr>
          <w:rFonts w:hint="eastAsia" w:hAnsi="宋体" w:eastAsia="宋体" w:cs="宋体"/>
          <w:b w:val="0"/>
          <w:bCs/>
          <w:kern w:val="0"/>
          <w:sz w:val="21"/>
          <w:szCs w:val="21"/>
          <w:lang w:val="en-US" w:eastAsia="zh-CN"/>
        </w:rPr>
        <w:t>3</w:t>
      </w:r>
      <w:r>
        <w:rPr>
          <w:rFonts w:hint="eastAsia" w:hAnsi="宋体" w:eastAsia="宋体" w:cs="宋体"/>
          <w:b w:val="0"/>
          <w:bCs/>
          <w:kern w:val="0"/>
          <w:sz w:val="21"/>
          <w:szCs w:val="21"/>
          <w:lang w:eastAsia="zh-CN"/>
        </w:rPr>
        <w:t>.</w:t>
      </w:r>
      <w:r>
        <w:rPr>
          <w:rFonts w:hint="eastAsia" w:hAnsi="宋体" w:eastAsia="宋体" w:cs="宋体"/>
          <w:b w:val="0"/>
          <w:bCs/>
          <w:spacing w:val="-6"/>
          <w:kern w:val="0"/>
          <w:sz w:val="21"/>
          <w:szCs w:val="21"/>
          <w:lang w:eastAsia="zh-CN"/>
        </w:rPr>
        <w:t>某公司所有者权益和长期负债比例为5︰4，当长期负债增加量在100万元以内时，资金成本为8%；当长期负债增加量超过100万元时，资金成本为10%，假定资本结构保持不变，则筹资总额分界点为（   ）万元。</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 xml:space="preserve">A 200 </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225</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385</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400</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14.</w:t>
      </w:r>
      <w:r>
        <w:rPr>
          <w:rFonts w:hint="eastAsia" w:hAnsi="宋体" w:eastAsia="宋体" w:cs="宋体"/>
          <w:b w:val="0"/>
          <w:bCs/>
          <w:kern w:val="0"/>
          <w:sz w:val="21"/>
          <w:szCs w:val="21"/>
          <w:lang w:eastAsia="zh-CN"/>
        </w:rPr>
        <w:t>企业为维持一定经营能力所必须负担的最低成本是（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val="en-US" w:eastAsia="zh-CN"/>
        </w:rPr>
        <w:t xml:space="preserve">A </w:t>
      </w:r>
      <w:r>
        <w:rPr>
          <w:rFonts w:hint="eastAsia" w:hAnsi="宋体" w:eastAsia="宋体" w:cs="宋体"/>
          <w:b w:val="0"/>
          <w:bCs/>
          <w:kern w:val="0"/>
          <w:sz w:val="21"/>
          <w:szCs w:val="21"/>
          <w:lang w:eastAsia="zh-CN"/>
        </w:rPr>
        <w:t>变动成本</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B 混合成本</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C 约束性固定成本</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D 酌量性固定成本</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15.</w:t>
      </w:r>
      <w:r>
        <w:rPr>
          <w:rFonts w:hint="eastAsia" w:hAnsi="宋体" w:eastAsia="宋体" w:cs="宋体"/>
          <w:b w:val="0"/>
          <w:bCs/>
          <w:kern w:val="0"/>
          <w:sz w:val="21"/>
          <w:szCs w:val="21"/>
          <w:lang w:eastAsia="zh-CN"/>
        </w:rPr>
        <w:t>根据全面预算体系的分类，下列预算中，属于财务预算的是（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销售预算</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B 现金预算</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直接材料预算</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直接人工预算</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16</w:t>
      </w:r>
      <w:r>
        <w:rPr>
          <w:rFonts w:hint="eastAsia" w:hAnsi="宋体" w:eastAsia="宋体" w:cs="宋体"/>
          <w:b w:val="0"/>
          <w:bCs/>
          <w:kern w:val="0"/>
          <w:sz w:val="21"/>
          <w:szCs w:val="21"/>
          <w:lang w:eastAsia="zh-CN"/>
        </w:rPr>
        <w:t>.在两差异法下，固定制造费用的差异可以分解为（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价格差异和产量差异</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耗费差异和效率差异</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能量差异和效率差异</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耗费差异和能量差异</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17</w:t>
      </w:r>
      <w:r>
        <w:rPr>
          <w:rFonts w:hint="eastAsia" w:hAnsi="宋体" w:eastAsia="宋体" w:cs="宋体"/>
          <w:b w:val="0"/>
          <w:bCs/>
          <w:kern w:val="0"/>
          <w:sz w:val="21"/>
          <w:szCs w:val="21"/>
          <w:lang w:eastAsia="zh-CN"/>
        </w:rPr>
        <w:t>.某公司近年来经营业务不断拓展，目前处于成长阶段，预计现有的生产经营能力能够满足未来10年稳定增长的需要，公司希望其股利与公司盈余紧密配合。基于以上条件，最为适宜该公司的股利政策是（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剩余股利政策</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固定股利政策</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固定股利支付率政策</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低正常股利加额外股利政策</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18</w:t>
      </w:r>
      <w:r>
        <w:rPr>
          <w:rFonts w:hint="eastAsia" w:hAnsi="宋体" w:eastAsia="宋体" w:cs="宋体"/>
          <w:b w:val="0"/>
          <w:bCs/>
          <w:kern w:val="0"/>
          <w:sz w:val="21"/>
          <w:szCs w:val="21"/>
          <w:lang w:eastAsia="zh-CN"/>
        </w:rPr>
        <w:t>.与传统定期预算方法相比，属于滚动预算方法缺点的是（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预算工作量大中华会计网校</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透明度低</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及时性差</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D 连续性弱</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19</w:t>
      </w:r>
      <w:r>
        <w:rPr>
          <w:rFonts w:hint="eastAsia" w:hAnsi="宋体" w:eastAsia="宋体" w:cs="宋体"/>
          <w:b w:val="0"/>
          <w:bCs/>
          <w:kern w:val="0"/>
          <w:sz w:val="21"/>
          <w:szCs w:val="21"/>
          <w:lang w:eastAsia="zh-CN"/>
        </w:rPr>
        <w:t>.下列指标中，其数值大小与偿债能力大小同方向变动的是（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产权比率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B 资产负债率</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已获利息倍数</w:t>
      </w:r>
      <w:r>
        <w:rPr>
          <w:rFonts w:hint="eastAsia" w:hAnsi="宋体" w:eastAsia="宋体" w:cs="宋体"/>
          <w:b w:val="0"/>
          <w:bCs/>
          <w:kern w:val="0"/>
          <w:sz w:val="21"/>
          <w:szCs w:val="21"/>
          <w:lang w:val="en-US" w:eastAsia="zh-CN"/>
        </w:rPr>
        <w:tab/>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带息负债比率</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val="en-US" w:eastAsia="zh-CN"/>
        </w:rPr>
        <w:t>20</w:t>
      </w:r>
      <w:r>
        <w:rPr>
          <w:rFonts w:hint="eastAsia" w:hAnsi="宋体" w:eastAsia="宋体" w:cs="宋体"/>
          <w:b w:val="0"/>
          <w:bCs/>
          <w:kern w:val="0"/>
          <w:sz w:val="21"/>
          <w:szCs w:val="21"/>
          <w:lang w:eastAsia="zh-CN"/>
        </w:rPr>
        <w:t>.某企业2007年和2008年的营业净利润分别为7%和8%，资产周转率分别为2和1.5，两年的资产负债率相同，与2007年相比，2008年的净资产收益率变动趋势为（   ）</w:t>
      </w:r>
    </w:p>
    <w:p>
      <w:pPr>
        <w:pStyle w:val="2"/>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textAlignment w:val="auto"/>
        <w:rPr>
          <w:rFonts w:hint="eastAsia" w:hAnsi="宋体" w:eastAsia="宋体" w:cs="宋体"/>
          <w:b w:val="0"/>
          <w:bCs/>
          <w:kern w:val="0"/>
          <w:sz w:val="21"/>
          <w:szCs w:val="21"/>
          <w:lang w:eastAsia="zh-CN"/>
        </w:rPr>
      </w:pP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A 上升</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B 下降</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C 不变</w:t>
      </w:r>
      <w:r>
        <w:rPr>
          <w:rFonts w:hint="eastAsia" w:hAnsi="宋体" w:eastAsia="宋体" w:cs="宋体"/>
          <w:b w:val="0"/>
          <w:bCs/>
          <w:kern w:val="0"/>
          <w:sz w:val="21"/>
          <w:szCs w:val="21"/>
          <w:lang w:eastAsia="zh-CN"/>
        </w:rPr>
        <w:tab/>
      </w:r>
      <w:r>
        <w:rPr>
          <w:rFonts w:hint="eastAsia" w:hAnsi="宋体" w:eastAsia="宋体" w:cs="宋体"/>
          <w:b w:val="0"/>
          <w:bCs/>
          <w:kern w:val="0"/>
          <w:sz w:val="21"/>
          <w:szCs w:val="21"/>
          <w:lang w:eastAsia="zh-CN"/>
        </w:rPr>
        <w:t>D 无法确定</w:t>
      </w:r>
    </w:p>
    <w:p>
      <w:pPr>
        <w:rPr>
          <w:rFonts w:hint="eastAsia" w:ascii="宋体" w:hAnsi="宋体" w:eastAsia="宋体" w:cs="宋体"/>
        </w:rPr>
      </w:pPr>
    </w:p>
    <w:p>
      <w:pPr>
        <w:numPr>
          <w:ilvl w:val="0"/>
          <w:numId w:val="1"/>
        </w:numPr>
        <w:rPr>
          <w:rFonts w:hint="eastAsia" w:ascii="宋体" w:hAnsi="宋体" w:eastAsia="宋体" w:cs="宋体"/>
          <w:b/>
          <w:bCs/>
          <w:color w:val="000000"/>
          <w:sz w:val="24"/>
        </w:rPr>
      </w:pPr>
      <w:r>
        <w:rPr>
          <w:rFonts w:hint="eastAsia" w:ascii="宋体" w:hAnsi="宋体" w:eastAsia="宋体" w:cs="宋体"/>
          <w:b/>
          <w:bCs/>
          <w:color w:val="000000"/>
          <w:sz w:val="24"/>
        </w:rPr>
        <w:t>多项选择题</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1.在不存在任何关联方交易的前提下，下列各项中，无法直接由企业资金营运活动形成的财务关系有（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企业与投资者之间的关系</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企业与受资者之间的关系</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企业与政府之间的关系</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企业与职工之间的关系</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2.下列各项中，属于企业特有风险的有（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经营风险</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利率风险</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财务风险</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汇率风险</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3.企业发行票面利率为i的债券时，市场利率为k，下列说法中正确的有（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若i＜k，债券溢价发行</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若i＞k，债券折价发行</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若i＞k，债券溢价发行</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若i＜k，债券折价发行</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4.投资者在计算基金投资收益率时，应考虑的因素有（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年初持有基金份数</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年末持有基金份数</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年初基金单位净值</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年末基金单位净值</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5.企业如果延长信用期限，可能导致的结果有（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扩大当期销售</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延长平均收账期</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增加坏账损</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增加收账费用</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6.在计算下列各项资金的筹资成本时，需要考虑筹资费用的有（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普通股</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债券</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长期借款</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留存收益</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7.企业在确定股利支付率水平时，应当考虑的因素有（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投资机会</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筹资成本</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资本结构</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股东偏好</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8.下列各项中，属于上市公司股票回购动机的有（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替代现金股利</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提高每股收益</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规避经营风险</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稳定公司股价</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9.在编制现金预算时，计算某期现金余缺必须考虑的因素有（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期初现金余额</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期末现金余额</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当期现金支出</w:t>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D 当期现金收入</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10.下列各项关于作业成本法的表述中，正确的有（   ）</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A 它是一种财务预算的方法</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B 它以作业为基础计算成本</w:t>
      </w:r>
    </w:p>
    <w:p>
      <w:pPr>
        <w:keepNext w:val="0"/>
        <w:keepLines w:val="0"/>
        <w:pageBreakBefore w:val="0"/>
        <w:widowControl w:val="0"/>
        <w:tabs>
          <w:tab w:val="left" w:pos="210"/>
          <w:tab w:val="left" w:pos="2310"/>
          <w:tab w:val="left" w:pos="4410"/>
          <w:tab w:val="left" w:pos="6520"/>
        </w:tabs>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ab/>
      </w:r>
      <w:r>
        <w:rPr>
          <w:rFonts w:hint="eastAsia" w:ascii="宋体" w:hAnsi="宋体" w:eastAsia="宋体" w:cs="宋体"/>
          <w:b w:val="0"/>
          <w:bCs/>
          <w:kern w:val="0"/>
          <w:sz w:val="21"/>
          <w:szCs w:val="21"/>
          <w:lang w:val="en-US" w:eastAsia="zh-CN" w:bidi="ar-SA"/>
        </w:rPr>
        <w:t>C 它是一种成本控制的方法</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D 它是一种准确无误的成本计算方法</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1"/>
          <w:szCs w:val="21"/>
          <w:lang w:val="en-US" w:eastAsia="zh-CN" w:bidi="ar-SA"/>
        </w:rPr>
      </w:pPr>
    </w:p>
    <w:p>
      <w:pPr>
        <w:numPr>
          <w:ilvl w:val="0"/>
          <w:numId w:val="1"/>
        </w:numPr>
        <w:ind w:left="0" w:leftChars="0" w:firstLine="0" w:firstLineChars="0"/>
        <w:rPr>
          <w:rFonts w:hint="eastAsia" w:ascii="宋体" w:hAnsi="宋体" w:eastAsia="宋体" w:cs="宋体"/>
          <w:b/>
          <w:bCs/>
          <w:color w:val="000000"/>
          <w:sz w:val="24"/>
        </w:rPr>
      </w:pPr>
      <w:r>
        <w:rPr>
          <w:rFonts w:hint="eastAsia" w:ascii="宋体" w:hAnsi="宋体" w:eastAsia="宋体" w:cs="宋体"/>
          <w:b/>
          <w:bCs/>
          <w:color w:val="000000"/>
          <w:sz w:val="24"/>
        </w:rPr>
        <w:t>判断题</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1.资金结构的平衡理论认为，当边际负债税额庇护利益等于边际财务危机成本时，企业价值最大，资金结构最优。（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2.强式和次强式有效市场的区别是信息公开的有效性是否被破坏，即是否存在“内幕信息”。（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3.决定债券收益率的主要因素有票面利率、期限、面值、购买价格、出售价格等。债券的可赎回条款、税收待遇、流动性及违约风险等因素不会影响债券的收益率。（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4.从融资角度看，企业发放股利减少了内部融资，导致进入资本市场寻求外部融资，可以接受资本市场的监督，从而减少代理成本。（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5.引起个别投资中心的投资利润率提高的投资，不一定会使整个企业的投资利润率提高；引起个别投资中心的剩余收益增加的投资，则一定会使整个企业的剩余收益增加。（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6.国库券是一种几乎没有风险的有价证券，其利率可以代表资金时间价值。（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7.在应用差额投资内部收益率法对固定资产更新改造投资项目进行决策时，如果差额内部收益率小于行业基准折现率或资金成本率，就不应当进行更新改造。（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8.股票分割不仅有利于促进股票流通和交易，而且还有助于公司并购政策的实施。（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9.对可能给企业带来灾难性损失的项目，企业应主动采取合资、联营和联合开发等措施，以规避风险。（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10.杠杆收购筹资会使筹资企业的财务杠杆比率有所降低。（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四、计算分析题</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1.2019年3月9日，A公司发行在外普通股10000万股，股票市价为15元/股。当日，该公司新发行了10000万份认股权证，规定每份认股权证可按10元认购1股普通股股票，且认股权证的售价与理论价值一致。同日，甲投资者用15000元购买了该公司股票，乙投资者用15000元购买了该公司的认股权证。假定不考虑投资者的交易费用。</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要求：</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（1）计算发行时每份认股权证的理论价值。</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（2）假定该认股权证行权时A公司股票市价为15元/股，计算全部认股权证行权后该公司的权益总价值和每股价值。</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（3）当A公司股票市价为18元/股时，</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计算：①甲投资者股票投资的收益率；②乙投资者认股权证投资的收益率。</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2.D公司为投资中心，下设甲乙两个利润中心，相关财务资料如下：</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资料一：甲利润中心营业收入为38000元，变动成本总额为14000元，利润中心负责人可控的固定成本为4000元，利润中心负责人不可控但应由该中心负担的固定成本为7000元。</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资料二：乙利润中心负债人可控利润总额为30000元，利润中心可控利润总额为22000元。</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资料三：D公司利润为33000元，投资额为200000元，该公司预期的最低投资报酬率为12％。</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（1）根据资料一计算甲利润中心的下列指标：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①利润中心边际贡献总额；②利润中心负责人可控利润总额；③利润中心可控利润总额。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（2）根据资料二计算乙利润中心负责人不可控但应由该利润中心负担的固定成本。</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jc w:val="both"/>
        <w:textAlignment w:val="auto"/>
        <w:rPr>
          <w:rFonts w:hint="eastAsia" w:ascii="宋体" w:hAnsi="宋体" w:eastAsia="宋体" w:cs="宋体"/>
          <w:b w:val="0"/>
          <w:bCs/>
          <w:kern w:val="0"/>
          <w:sz w:val="21"/>
          <w:szCs w:val="21"/>
          <w:lang w:val="en-US" w:eastAsia="zh-CN" w:bidi="ar-SA"/>
        </w:rPr>
      </w:pPr>
      <w:r>
        <w:rPr>
          <w:rFonts w:hint="eastAsia" w:ascii="宋体" w:hAnsi="宋体" w:eastAsia="宋体" w:cs="宋体"/>
          <w:b w:val="0"/>
          <w:bCs/>
          <w:kern w:val="0"/>
          <w:sz w:val="21"/>
          <w:szCs w:val="21"/>
          <w:lang w:val="en-US" w:eastAsia="zh-CN" w:bidi="ar-SA"/>
        </w:rPr>
        <w:t>（3）根据资料三计算D公司的剩余收益。</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kern w:val="2"/>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kern w:val="2"/>
          <w:sz w:val="21"/>
          <w:szCs w:val="21"/>
          <w:lang w:val="en-US" w:eastAsia="zh-CN" w:bidi="ar-SA"/>
        </w:rPr>
      </w:pPr>
    </w:p>
    <w:p>
      <w:pPr>
        <w:spacing w:before="156" w:beforeLines="50" w:after="156" w:afterLines="50"/>
        <w:rPr>
          <w:rFonts w:hint="eastAsia" w:ascii="宋体" w:hAnsi="宋体" w:eastAsia="宋体" w:cs="宋体"/>
          <w:b/>
          <w:bCs/>
          <w:color w:val="000000"/>
          <w:sz w:val="24"/>
        </w:rPr>
      </w:pPr>
      <w:r>
        <w:rPr>
          <w:rFonts w:hint="eastAsia" w:ascii="宋体" w:hAnsi="宋体" w:eastAsia="宋体" w:cs="宋体"/>
          <w:b/>
          <w:bCs/>
          <w:color w:val="000000"/>
          <w:sz w:val="24"/>
        </w:rPr>
        <w:t>五、综合题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1.E公司拟投资建设一条生产线，行业基准折现率为10％，现有六个方案可供选择，相关的净现金流量数据如表4所示：</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表4                               价值单位：万元</w:t>
      </w:r>
    </w:p>
    <w:tbl>
      <w:tblPr>
        <w:tblStyle w:val="6"/>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5"/>
        <w:gridCol w:w="630"/>
        <w:gridCol w:w="825"/>
        <w:gridCol w:w="705"/>
        <w:gridCol w:w="690"/>
        <w:gridCol w:w="690"/>
        <w:gridCol w:w="690"/>
        <w:gridCol w:w="570"/>
        <w:gridCol w:w="555"/>
        <w:gridCol w:w="690"/>
        <w:gridCol w:w="690"/>
        <w:gridCol w:w="615"/>
        <w:gridCol w:w="7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方案</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t</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合计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A</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-1050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500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450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400</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350</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150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100</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50</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B</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-1100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150</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200</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400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450</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500</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C</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-1100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D</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-1100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E</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-550</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-550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6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F</w:t>
            </w:r>
          </w:p>
        </w:tc>
        <w:tc>
          <w:tcPr>
            <w:tcW w:w="63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NCF</w:t>
            </w:r>
          </w:p>
        </w:tc>
        <w:tc>
          <w:tcPr>
            <w:tcW w:w="82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70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-1100</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55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9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61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275</w:t>
            </w:r>
          </w:p>
        </w:tc>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1650</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相关的时间价值系数如下：</w:t>
      </w:r>
    </w:p>
    <w:tbl>
      <w:tblPr>
        <w:tblStyle w:val="6"/>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95"/>
        <w:gridCol w:w="1695"/>
        <w:gridCol w:w="1695"/>
        <w:gridCol w:w="1695"/>
        <w:gridCol w:w="169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t</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（P/F，10%，t）</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（P/A，10%，t）</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（P/A，20%，t）</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（P/A，24%，t）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0.9091</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0.9091</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0.8333</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0.8065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0.3855</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6.1446</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4.1925</w:t>
            </w:r>
          </w:p>
        </w:tc>
        <w:tc>
          <w:tcPr>
            <w:tcW w:w="169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3.6819</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要求：</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根据表4数据，分别确定下列数据：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①A方案和B方案的建设期；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②C方案和D方案的运营期；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③E方案和F方案的项目计算期。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（2）根据表4数据，说明A方案和D方案的资金投入方式。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（3）计算A方案包括建设期的静态投资回收期指标。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（4）利用简化方法计算E方案不包括建设期的静态投资回收期指标。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（5）利润简化方法计算C方案净现值指标。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1"/>
          <w:szCs w:val="21"/>
          <w:lang w:val="en-US" w:eastAsia="zh-CN" w:bidi="ar-SA"/>
        </w:rPr>
        <w:t>（6）利用简化方法计算D方案内部收益率指标。</w:t>
      </w:r>
    </w:p>
    <w:p>
      <w:pPr>
        <w:rPr>
          <w:rFonts w:hint="eastAsia" w:ascii="宋体" w:hAnsi="宋体" w:eastAsia="宋体" w:cs="宋体"/>
        </w:rPr>
      </w:pPr>
      <w:r>
        <w:rPr>
          <w:rFonts w:hint="eastAsia" w:ascii="宋体" w:hAnsi="宋体" w:eastAsia="宋体" w:cs="宋体"/>
        </w:rPr>
        <w:br w:type="page"/>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单项选择题题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 xml:space="preserve">1-5 D B A C A </w:t>
      </w:r>
      <w:r>
        <w:rPr>
          <w:rFonts w:hint="eastAsia" w:ascii="宋体" w:hAnsi="宋体" w:eastAsia="宋体" w:cs="Times New Roman"/>
          <w:kern w:val="2"/>
          <w:sz w:val="21"/>
          <w:szCs w:val="20"/>
          <w:lang w:val="en-US" w:eastAsia="zh-CN" w:bidi="ar-SA"/>
        </w:rPr>
        <w:tab/>
      </w:r>
      <w:r>
        <w:rPr>
          <w:rFonts w:hint="eastAsia" w:ascii="宋体" w:hAnsi="宋体" w:eastAsia="宋体" w:cs="Times New Roman"/>
          <w:kern w:val="2"/>
          <w:sz w:val="21"/>
          <w:szCs w:val="20"/>
          <w:lang w:val="en-US" w:eastAsia="zh-CN" w:bidi="ar-SA"/>
        </w:rPr>
        <w:t xml:space="preserve">6-10 C B D C B </w:t>
      </w:r>
      <w:r>
        <w:rPr>
          <w:rFonts w:hint="eastAsia" w:ascii="宋体" w:hAnsi="宋体" w:eastAsia="宋体" w:cs="Times New Roman"/>
          <w:kern w:val="2"/>
          <w:sz w:val="21"/>
          <w:szCs w:val="20"/>
          <w:lang w:val="en-US" w:eastAsia="zh-CN" w:bidi="ar-SA"/>
        </w:rPr>
        <w:tab/>
      </w:r>
      <w:r>
        <w:rPr>
          <w:rFonts w:hint="eastAsia" w:ascii="宋体" w:hAnsi="宋体" w:eastAsia="宋体" w:cs="Times New Roman"/>
          <w:kern w:val="2"/>
          <w:sz w:val="21"/>
          <w:szCs w:val="20"/>
          <w:lang w:val="en-US" w:eastAsia="zh-CN" w:bidi="ar-SA"/>
        </w:rPr>
        <w:tab/>
      </w:r>
      <w:r>
        <w:rPr>
          <w:rFonts w:hint="eastAsia" w:ascii="宋体" w:hAnsi="宋体" w:eastAsia="宋体" w:cs="Times New Roman"/>
          <w:kern w:val="2"/>
          <w:sz w:val="21"/>
          <w:szCs w:val="20"/>
          <w:lang w:val="en-US" w:eastAsia="zh-CN" w:bidi="ar-SA"/>
        </w:rPr>
        <w:t xml:space="preserve">11-15 A D B C B </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二、多项选择题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 xml:space="preserve">1.ABC 2.AC 3.CD 4.ABCD 5.ABCD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三、判断题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1.√2.√3.X4.√5.√6.X7.√8.√9.10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四、简答题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1.参考答案：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（1）每份认股权证的理论价值＝max[（15－10）×1.0]＝5（元）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（2）全部认股权证行权后该公司的权益总价值＝10000×15＋10000×10＝250000（万元）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公司总股份＝10000＋10000＝20000（万股）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每股价值＝250000/20000＝12.5（元）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（3）①甲投资者股票投资的收益率＝（18－15）/15×100%＝20%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（或：甲投资者股票投资的收益率＝[（18－15）×15000/15]/15000×100%＝20%）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②乙投资者每份认股权证的购买价格＝发行时每份认股权证的理论价值＝5（元）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乙投资者每份认股权证的出售价格＝出售时每份认股权证的理论价值＝max[（18－10）×1.0]＝8（元）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所以，乙投资者认股权证投资的收益率＝（8－5）/5×100%＝60%（或＝[（8－5）×1500/5]/1500×100%＝60%）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2.参考答案：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Times New Roman"/>
          <w:kern w:val="2"/>
          <w:sz w:val="21"/>
          <w:szCs w:val="20"/>
          <w:lang w:val="en-US" w:eastAsia="zh-CN" w:bidi="ar-SA"/>
        </w:rPr>
      </w:pP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jc w:val="both"/>
        <w:textAlignment w:val="auto"/>
        <w:rPr>
          <w:rFonts w:hint="default" w:ascii="宋体" w:hAnsi="宋体" w:eastAsia="宋体" w:cs="Times New Roman"/>
          <w:kern w:val="2"/>
          <w:sz w:val="21"/>
          <w:szCs w:val="20"/>
          <w:lang w:val="en-US" w:eastAsia="zh-CN" w:bidi="ar-SA"/>
        </w:rPr>
      </w:pPr>
      <w:r>
        <w:rPr>
          <w:rFonts w:hint="eastAsia" w:ascii="宋体" w:hAnsi="宋体" w:eastAsia="宋体" w:cs="Times New Roman"/>
          <w:kern w:val="2"/>
          <w:sz w:val="21"/>
          <w:szCs w:val="20"/>
          <w:lang w:val="en-US" w:eastAsia="zh-CN" w:bidi="ar-SA"/>
        </w:rPr>
        <w:t>综合题</w:t>
      </w:r>
    </w:p>
    <w:p>
      <w:pPr>
        <w:jc w:val="left"/>
        <w:rPr>
          <w:rFonts w:hint="eastAsia" w:ascii="宋体" w:hAnsi="宋体" w:eastAsia="宋体" w:cs="Times New Roman"/>
          <w:szCs w:val="21"/>
          <w:lang w:eastAsia="zh-CN"/>
        </w:rPr>
      </w:pPr>
      <w:r>
        <w:rPr>
          <w:rFonts w:hint="eastAsia" w:ascii="宋体" w:hAnsi="宋体" w:eastAsia="宋体" w:cs="Times New Roman"/>
          <w:szCs w:val="21"/>
        </w:rPr>
        <w:t>参考答案：</w:t>
      </w:r>
    </w:p>
    <w:p>
      <w:pPr>
        <w:numPr>
          <w:ilvl w:val="0"/>
          <w:numId w:val="5"/>
        </w:numPr>
        <w:jc w:val="left"/>
        <w:rPr>
          <w:rFonts w:hint="eastAsia" w:ascii="宋体" w:hAnsi="宋体" w:eastAsia="宋体" w:cs="Times New Roman"/>
          <w:szCs w:val="21"/>
        </w:rPr>
      </w:pPr>
      <w:r>
        <w:rPr>
          <w:rFonts w:hint="eastAsia" w:ascii="宋体" w:hAnsi="宋体" w:eastAsia="宋体" w:cs="Times New Roman"/>
          <w:szCs w:val="21"/>
        </w:rPr>
        <w:t>①A方案和B方案的建设期均为1年</w:t>
      </w:r>
    </w:p>
    <w:p>
      <w:pPr>
        <w:ind w:firstLine="630" w:firstLineChars="300"/>
        <w:jc w:val="left"/>
        <w:rPr>
          <w:rFonts w:hint="eastAsia" w:ascii="宋体" w:hAnsi="宋体" w:eastAsia="宋体" w:cs="Times New Roman"/>
          <w:szCs w:val="21"/>
          <w:lang w:eastAsia="zh-CN"/>
        </w:rPr>
      </w:pPr>
      <w:r>
        <w:rPr>
          <w:rFonts w:hint="eastAsia" w:ascii="宋体" w:hAnsi="宋体" w:eastAsia="宋体" w:cs="Times New Roman"/>
          <w:szCs w:val="21"/>
        </w:rPr>
        <w:t>②C方案和D方案的运营期均为10年</w:t>
      </w:r>
    </w:p>
    <w:p>
      <w:pPr>
        <w:ind w:firstLine="630" w:firstLineChars="300"/>
        <w:jc w:val="left"/>
        <w:rPr>
          <w:rFonts w:hint="eastAsia" w:ascii="宋体" w:hAnsi="宋体" w:eastAsia="宋体" w:cs="Times New Roman"/>
          <w:szCs w:val="21"/>
          <w:lang w:eastAsia="zh-CN"/>
        </w:rPr>
      </w:pPr>
      <w:r>
        <w:rPr>
          <w:rFonts w:hint="eastAsia" w:ascii="宋体" w:hAnsi="宋体" w:eastAsia="宋体" w:cs="Times New Roman"/>
          <w:szCs w:val="21"/>
        </w:rPr>
        <w:t>③E方案和F方案的项目计算期均为11年</w:t>
      </w:r>
    </w:p>
    <w:p>
      <w:pPr>
        <w:numPr>
          <w:ilvl w:val="0"/>
          <w:numId w:val="5"/>
        </w:numPr>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A方案的资金投入方式为分次投入，D方案的资金投入方式为一次投入</w:t>
      </w:r>
    </w:p>
    <w:p>
      <w:pPr>
        <w:numPr>
          <w:ilvl w:val="0"/>
          <w:numId w:val="5"/>
        </w:numPr>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A方案包括建设期的静态投资回收期＝3＋150/400＝3.38（年）</w:t>
      </w:r>
    </w:p>
    <w:p>
      <w:pPr>
        <w:numPr>
          <w:ilvl w:val="0"/>
          <w:numId w:val="5"/>
        </w:numPr>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E方案不包括建设期的静态投资回收期指标＝1100/275＝4（年）</w:t>
      </w:r>
    </w:p>
    <w:p>
      <w:pPr>
        <w:numPr>
          <w:ilvl w:val="0"/>
          <w:numId w:val="5"/>
        </w:numPr>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C方案净现值指标＝275×（P/A，10％，10）×（P/F，10％，1）－1100＝275×6.1446×0.9091－1100＝436.17（万元）</w:t>
      </w:r>
    </w:p>
    <w:p>
      <w:pPr>
        <w:numPr>
          <w:ilvl w:val="0"/>
          <w:numId w:val="5"/>
        </w:numPr>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275×（P/A，irr，10）＝1100</w:t>
      </w:r>
    </w:p>
    <w:p>
      <w:pPr>
        <w:ind w:firstLine="630" w:firstLineChars="300"/>
        <w:jc w:val="left"/>
        <w:rPr>
          <w:rFonts w:hint="eastAsia" w:ascii="宋体" w:hAnsi="宋体" w:eastAsia="宋体" w:cs="Times New Roman"/>
          <w:szCs w:val="21"/>
          <w:lang w:eastAsia="zh-CN"/>
        </w:rPr>
      </w:pPr>
      <w:r>
        <w:rPr>
          <w:rFonts w:hint="eastAsia" w:ascii="宋体" w:hAnsi="宋体" w:eastAsia="宋体" w:cs="Times New Roman"/>
          <w:szCs w:val="21"/>
        </w:rPr>
        <w:t>即：（P/A，irr，10）＝4</w:t>
      </w:r>
    </w:p>
    <w:p>
      <w:pPr>
        <w:jc w:val="left"/>
        <w:rPr>
          <w:rFonts w:hint="eastAsia" w:ascii="宋体" w:hAnsi="宋体" w:eastAsia="宋体" w:cs="Times New Roman"/>
          <w:szCs w:val="21"/>
          <w:lang w:eastAsia="zh-CN"/>
        </w:rPr>
      </w:pPr>
      <w:r>
        <w:rPr>
          <w:rFonts w:hint="eastAsia" w:ascii="宋体" w:hAnsi="宋体" w:eastAsia="宋体" w:cs="Times New Roman"/>
          <w:szCs w:val="21"/>
          <w:lang w:val="en-US" w:eastAsia="zh-CN"/>
        </w:rPr>
        <w:t xml:space="preserve"> </w:t>
      </w:r>
      <w:r>
        <w:rPr>
          <w:rFonts w:hint="eastAsia" w:ascii="宋体" w:hAnsi="宋体" w:eastAsia="宋体" w:cs="Times New Roman"/>
          <w:szCs w:val="21"/>
        </w:rPr>
        <w:t>根据（P/A，20％，10）＝4.1925</w:t>
      </w:r>
    </w:p>
    <w:p>
      <w:pPr>
        <w:ind w:firstLine="420" w:firstLineChars="200"/>
        <w:jc w:val="left"/>
        <w:rPr>
          <w:rFonts w:hint="eastAsia" w:ascii="宋体" w:hAnsi="宋体" w:eastAsia="宋体" w:cs="Times New Roman"/>
          <w:szCs w:val="21"/>
          <w:lang w:eastAsia="zh-CN"/>
        </w:rPr>
      </w:pPr>
      <w:r>
        <w:rPr>
          <w:rFonts w:hint="eastAsia" w:ascii="宋体" w:hAnsi="宋体" w:eastAsia="宋体" w:cs="Times New Roman"/>
          <w:szCs w:val="21"/>
        </w:rPr>
        <w:t>（P/A，24％，10）＝3.6819</w:t>
      </w:r>
    </w:p>
    <w:p>
      <w:pPr>
        <w:ind w:firstLine="420" w:firstLineChars="200"/>
        <w:jc w:val="left"/>
        <w:rPr>
          <w:rFonts w:hint="eastAsia" w:ascii="宋体" w:hAnsi="宋体" w:eastAsia="宋体" w:cs="Times New Roman"/>
          <w:szCs w:val="21"/>
          <w:lang w:eastAsia="zh-CN"/>
        </w:rPr>
      </w:pPr>
      <w:r>
        <w:rPr>
          <w:rFonts w:hint="eastAsia" w:ascii="宋体" w:hAnsi="宋体" w:eastAsia="宋体" w:cs="Times New Roman"/>
          <w:szCs w:val="21"/>
        </w:rPr>
        <w:t>可知：（24％－irr）/（24％－20％）＝（3.6819－4）/（3.6819－4.1925）</w:t>
      </w:r>
    </w:p>
    <w:p>
      <w:pPr>
        <w:ind w:firstLine="420" w:firstLineChars="200"/>
        <w:jc w:val="left"/>
        <w:rPr>
          <w:rFonts w:hint="eastAsia" w:ascii="宋体" w:hAnsi="宋体" w:eastAsia="宋体" w:cs="Times New Roman"/>
          <w:szCs w:val="21"/>
        </w:rPr>
      </w:pPr>
      <w:r>
        <w:rPr>
          <w:rFonts w:hint="eastAsia" w:ascii="宋体" w:hAnsi="宋体" w:eastAsia="宋体" w:cs="Times New Roman"/>
          <w:szCs w:val="21"/>
        </w:rPr>
        <w:t>解得：irr＝21.51％</w:t>
      </w:r>
    </w:p>
    <w:p>
      <w:pPr>
        <w:rPr>
          <w:rFonts w:hint="eastAsia" w:ascii="宋体" w:hAnsi="宋体" w:eastAsia="宋体" w:cs="宋体"/>
        </w:rPr>
      </w:pP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76C111"/>
    <w:multiLevelType w:val="singleLevel"/>
    <w:tmpl w:val="B476C111"/>
    <w:lvl w:ilvl="0" w:tentative="0">
      <w:start w:val="5"/>
      <w:numFmt w:val="chineseCounting"/>
      <w:suff w:val="nothing"/>
      <w:lvlText w:val="%1、"/>
      <w:lvlJc w:val="left"/>
      <w:rPr>
        <w:rFonts w:hint="eastAsia"/>
      </w:rPr>
    </w:lvl>
  </w:abstractNum>
  <w:abstractNum w:abstractNumId="1">
    <w:nsid w:val="04DECCE0"/>
    <w:multiLevelType w:val="singleLevel"/>
    <w:tmpl w:val="04DECCE0"/>
    <w:lvl w:ilvl="0" w:tentative="0">
      <w:start w:val="1"/>
      <w:numFmt w:val="decimal"/>
      <w:suff w:val="nothing"/>
      <w:lvlText w:val="（%1）"/>
      <w:lvlJc w:val="left"/>
    </w:lvl>
  </w:abstractNum>
  <w:abstractNum w:abstractNumId="2">
    <w:nsid w:val="05F772B2"/>
    <w:multiLevelType w:val="singleLevel"/>
    <w:tmpl w:val="05F772B2"/>
    <w:lvl w:ilvl="0" w:tentative="0">
      <w:start w:val="1"/>
      <w:numFmt w:val="chineseCounting"/>
      <w:suff w:val="nothing"/>
      <w:lvlText w:val="%1、"/>
      <w:lvlJc w:val="left"/>
      <w:rPr>
        <w:rFonts w:hint="eastAsia"/>
      </w:rPr>
    </w:lvl>
  </w:abstractNum>
  <w:abstractNum w:abstractNumId="3">
    <w:nsid w:val="0F43AE6E"/>
    <w:multiLevelType w:val="singleLevel"/>
    <w:tmpl w:val="0F43AE6E"/>
    <w:lvl w:ilvl="0" w:tentative="0">
      <w:start w:val="1"/>
      <w:numFmt w:val="decimal"/>
      <w:suff w:val="space"/>
      <w:lvlText w:val="（%1）"/>
      <w:lvlJc w:val="left"/>
    </w:lvl>
  </w:abstractNum>
  <w:abstractNum w:abstractNumId="4">
    <w:nsid w:val="218A4B0F"/>
    <w:multiLevelType w:val="singleLevel"/>
    <w:tmpl w:val="218A4B0F"/>
    <w:lvl w:ilvl="0" w:tentative="0">
      <w:start w:val="2"/>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cwMmU5MzAzNjViMjAwNDY0Zjg2NTVmOThjMDA1NWUifQ=="/>
  </w:docVars>
  <w:rsids>
    <w:rsidRoot w:val="00CA16CA"/>
    <w:rsid w:val="0007474A"/>
    <w:rsid w:val="000B32FF"/>
    <w:rsid w:val="00134A39"/>
    <w:rsid w:val="0019573B"/>
    <w:rsid w:val="001E655F"/>
    <w:rsid w:val="00235B81"/>
    <w:rsid w:val="002D0510"/>
    <w:rsid w:val="00343CDC"/>
    <w:rsid w:val="0037376A"/>
    <w:rsid w:val="004E7E88"/>
    <w:rsid w:val="005B7192"/>
    <w:rsid w:val="005E7A7F"/>
    <w:rsid w:val="00610073"/>
    <w:rsid w:val="00723915"/>
    <w:rsid w:val="007F4F36"/>
    <w:rsid w:val="00831D49"/>
    <w:rsid w:val="00847C70"/>
    <w:rsid w:val="008D3520"/>
    <w:rsid w:val="008E761D"/>
    <w:rsid w:val="009F3EE9"/>
    <w:rsid w:val="00A860FB"/>
    <w:rsid w:val="00AE7CDE"/>
    <w:rsid w:val="00BF4D32"/>
    <w:rsid w:val="00CA16CA"/>
    <w:rsid w:val="00CF5AB3"/>
    <w:rsid w:val="00D32469"/>
    <w:rsid w:val="00D33515"/>
    <w:rsid w:val="00D41CD6"/>
    <w:rsid w:val="00DC6B6F"/>
    <w:rsid w:val="00E44A5A"/>
    <w:rsid w:val="00F03B00"/>
    <w:rsid w:val="03B94246"/>
    <w:rsid w:val="05776166"/>
    <w:rsid w:val="08777BCA"/>
    <w:rsid w:val="0CCA3020"/>
    <w:rsid w:val="14710F49"/>
    <w:rsid w:val="18422604"/>
    <w:rsid w:val="1A084D34"/>
    <w:rsid w:val="1AB82B10"/>
    <w:rsid w:val="1CF50AD0"/>
    <w:rsid w:val="1E85324A"/>
    <w:rsid w:val="21B52CFF"/>
    <w:rsid w:val="29D82DC8"/>
    <w:rsid w:val="2B8E7BE2"/>
    <w:rsid w:val="2EAB5D2A"/>
    <w:rsid w:val="316373F4"/>
    <w:rsid w:val="342A4220"/>
    <w:rsid w:val="35D07049"/>
    <w:rsid w:val="3699743B"/>
    <w:rsid w:val="3CEF7EA6"/>
    <w:rsid w:val="3E9B18FC"/>
    <w:rsid w:val="3EC7548D"/>
    <w:rsid w:val="40AB2262"/>
    <w:rsid w:val="425132C0"/>
    <w:rsid w:val="43E4263E"/>
    <w:rsid w:val="474B300D"/>
    <w:rsid w:val="4CAD5597"/>
    <w:rsid w:val="4E0F5A16"/>
    <w:rsid w:val="4E190CEF"/>
    <w:rsid w:val="4F18319B"/>
    <w:rsid w:val="5337580F"/>
    <w:rsid w:val="533E1EAC"/>
    <w:rsid w:val="5415426B"/>
    <w:rsid w:val="55086FD1"/>
    <w:rsid w:val="551563EE"/>
    <w:rsid w:val="59A31F34"/>
    <w:rsid w:val="5E87100B"/>
    <w:rsid w:val="5E954808"/>
    <w:rsid w:val="5ED116A4"/>
    <w:rsid w:val="658C6239"/>
    <w:rsid w:val="65F83911"/>
    <w:rsid w:val="691B1DAE"/>
    <w:rsid w:val="6CB95E8C"/>
    <w:rsid w:val="7046087A"/>
    <w:rsid w:val="73E159A2"/>
    <w:rsid w:val="75D510A6"/>
    <w:rsid w:val="77FE4D75"/>
    <w:rsid w:val="7D8E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qFormat/>
    <w:uiPriority w:val="0"/>
    <w:pPr>
      <w:widowControl w:val="0"/>
      <w:jc w:val="both"/>
    </w:pPr>
    <w:rPr>
      <w:rFonts w:ascii="宋体" w:hAnsi="Courier New" w:eastAsia="宋体" w:cs="Times New Roman"/>
      <w:kern w:val="2"/>
      <w:sz w:val="21"/>
      <w:szCs w:val="20"/>
      <w:lang w:val="en-US" w:eastAsia="zh-CN" w:bidi="ar-SA"/>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4275</Words>
  <Characters>5063</Characters>
  <Lines>16</Lines>
  <Paragraphs>4</Paragraphs>
  <TotalTime>2</TotalTime>
  <ScaleCrop>false</ScaleCrop>
  <LinksUpToDate>false</LinksUpToDate>
  <CharactersWithSpaces>5513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育华教育叶燮燮</cp:lastModifiedBy>
  <dcterms:modified xsi:type="dcterms:W3CDTF">2022-06-10T08:05:37Z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934C49A6A2144037B991FA1500ED3EF2</vt:lpwstr>
  </property>
</Properties>
</file>