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8AD5A">
      <w:pPr>
        <w:numPr>
          <w:numId w:val="0"/>
        </w:numPr>
        <w:spacing w:line="360" w:lineRule="auto"/>
        <w:rPr>
          <w:rFonts w:hint="default" w:ascii="宋体" w:hAnsi="宋体"/>
          <w:b/>
          <w:szCs w:val="21"/>
          <w:lang w:val="en-US" w:eastAsia="zh-CN"/>
        </w:rPr>
      </w:pPr>
      <w:r>
        <w:rPr>
          <w:rFonts w:hint="eastAsia" w:ascii="宋体" w:hAnsi="宋体"/>
          <w:b/>
          <w:szCs w:val="21"/>
          <w:lang w:val="en-US" w:eastAsia="zh-CN"/>
        </w:rPr>
        <w:t>中级财务会计复习资料</w:t>
      </w:r>
      <w:bookmarkStart w:id="1" w:name="_GoBack"/>
      <w:bookmarkEnd w:id="1"/>
    </w:p>
    <w:p w14:paraId="46CDA5BB">
      <w:pPr>
        <w:numPr>
          <w:ilvl w:val="0"/>
          <w:numId w:val="1"/>
        </w:numPr>
        <w:spacing w:line="360" w:lineRule="auto"/>
        <w:rPr>
          <w:rFonts w:hint="eastAsia" w:ascii="宋体" w:hAnsi="宋体"/>
          <w:b/>
          <w:szCs w:val="21"/>
          <w:lang w:eastAsia="zh-CN"/>
        </w:rPr>
      </w:pPr>
      <w:r>
        <w:rPr>
          <w:rFonts w:hint="eastAsia" w:ascii="宋体" w:hAnsi="宋体"/>
          <w:b/>
          <w:szCs w:val="21"/>
        </w:rPr>
        <w:t>单项选择题</w:t>
      </w:r>
    </w:p>
    <w:p w14:paraId="17835789">
      <w:pPr>
        <w:numPr>
          <w:ilvl w:val="0"/>
          <w:numId w:val="2"/>
        </w:numPr>
        <w:spacing w:line="360" w:lineRule="auto"/>
        <w:rPr>
          <w:rFonts w:hint="eastAsia" w:ascii="宋体" w:hAnsi="宋体"/>
          <w:b w:val="0"/>
          <w:bCs/>
          <w:szCs w:val="21"/>
          <w:lang w:eastAsia="zh-CN"/>
        </w:rPr>
      </w:pPr>
      <w:r>
        <w:rPr>
          <w:rFonts w:hint="eastAsia" w:ascii="宋体" w:hAnsi="宋体"/>
          <w:b w:val="0"/>
          <w:bCs/>
          <w:szCs w:val="21"/>
          <w:lang w:eastAsia="zh-CN"/>
        </w:rPr>
        <w:t>企业前后各期采用的会计政策应保持一致，不得随意变更，体现的会计信息质量的是（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333F90AD">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可比性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可靠性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 可理解性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相关性</w:t>
      </w:r>
    </w:p>
    <w:p w14:paraId="4F601B95">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2.</w:t>
      </w:r>
      <w:r>
        <w:rPr>
          <w:rFonts w:hint="eastAsia" w:ascii="宋体" w:hAnsi="宋体"/>
          <w:b w:val="0"/>
          <w:bCs/>
          <w:szCs w:val="21"/>
          <w:lang w:eastAsia="zh-CN"/>
        </w:rPr>
        <w:t>职员李四出差归来，报销差旅费 1500 元，退回剩余现金 500 元。应编制的分录为（</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39F62750">
      <w:pPr>
        <w:numPr>
          <w:ilvl w:val="0"/>
          <w:numId w:val="0"/>
        </w:numPr>
        <w:spacing w:line="360" w:lineRule="auto"/>
        <w:ind w:firstLine="420" w:firstLineChars="0"/>
        <w:rPr>
          <w:rFonts w:hint="eastAsia" w:ascii="宋体" w:hAnsi="宋体"/>
          <w:b w:val="0"/>
          <w:bCs/>
          <w:szCs w:val="21"/>
          <w:lang w:val="en-US" w:eastAsia="zh-CN"/>
        </w:rPr>
      </w:pPr>
      <w:r>
        <w:rPr>
          <w:rFonts w:hint="eastAsia" w:ascii="宋体" w:hAnsi="宋体"/>
          <w:b w:val="0"/>
          <w:bCs/>
          <w:szCs w:val="21"/>
          <w:lang w:eastAsia="zh-CN"/>
        </w:rPr>
        <w:t xml:space="preserve">A. 借：库存现金 2000 </w:t>
      </w:r>
      <w:r>
        <w:rPr>
          <w:rFonts w:hint="eastAsia" w:ascii="宋体" w:hAnsi="宋体"/>
          <w:b w:val="0"/>
          <w:bCs/>
          <w:szCs w:val="21"/>
          <w:lang w:val="en-US" w:eastAsia="zh-CN"/>
        </w:rPr>
        <w:t xml:space="preserve">   </w:t>
      </w:r>
    </w:p>
    <w:p w14:paraId="28076B7F">
      <w:pPr>
        <w:numPr>
          <w:ilvl w:val="0"/>
          <w:numId w:val="0"/>
        </w:numPr>
        <w:spacing w:line="360" w:lineRule="auto"/>
        <w:ind w:firstLine="1050" w:firstLineChars="500"/>
        <w:rPr>
          <w:rFonts w:hint="eastAsia" w:ascii="宋体" w:hAnsi="宋体"/>
          <w:b w:val="0"/>
          <w:bCs/>
          <w:szCs w:val="21"/>
          <w:lang w:eastAsia="zh-CN"/>
        </w:rPr>
      </w:pPr>
      <w:r>
        <w:rPr>
          <w:rFonts w:hint="eastAsia" w:ascii="宋体" w:hAnsi="宋体"/>
          <w:b w:val="0"/>
          <w:bCs/>
          <w:szCs w:val="21"/>
          <w:lang w:eastAsia="zh-CN"/>
        </w:rPr>
        <w:t>贷：其他应收款 2000</w:t>
      </w:r>
    </w:p>
    <w:p w14:paraId="6C389E1B">
      <w:pPr>
        <w:numPr>
          <w:ilvl w:val="0"/>
          <w:numId w:val="3"/>
        </w:numPr>
        <w:spacing w:line="360" w:lineRule="auto"/>
        <w:ind w:firstLine="420" w:firstLineChars="0"/>
        <w:rPr>
          <w:rFonts w:hint="eastAsia" w:ascii="宋体" w:hAnsi="宋体"/>
          <w:b w:val="0"/>
          <w:bCs/>
          <w:szCs w:val="21"/>
          <w:lang w:val="en-US" w:eastAsia="zh-CN"/>
        </w:rPr>
      </w:pPr>
      <w:r>
        <w:rPr>
          <w:rFonts w:hint="eastAsia" w:ascii="宋体" w:hAnsi="宋体"/>
          <w:b w:val="0"/>
          <w:bCs/>
          <w:szCs w:val="21"/>
          <w:lang w:eastAsia="zh-CN"/>
        </w:rPr>
        <w:t xml:space="preserve">借：管理费用 2000 </w:t>
      </w:r>
      <w:r>
        <w:rPr>
          <w:rFonts w:hint="eastAsia" w:ascii="宋体" w:hAnsi="宋体"/>
          <w:b w:val="0"/>
          <w:bCs/>
          <w:szCs w:val="21"/>
          <w:lang w:val="en-US" w:eastAsia="zh-CN"/>
        </w:rPr>
        <w:t xml:space="preserve">   </w:t>
      </w:r>
    </w:p>
    <w:p w14:paraId="1413119A">
      <w:pPr>
        <w:numPr>
          <w:ilvl w:val="0"/>
          <w:numId w:val="0"/>
        </w:numPr>
        <w:spacing w:line="360" w:lineRule="auto"/>
        <w:ind w:firstLine="1050" w:firstLineChars="500"/>
        <w:rPr>
          <w:rFonts w:hint="eastAsia" w:ascii="宋体" w:hAnsi="宋体"/>
          <w:b w:val="0"/>
          <w:bCs/>
          <w:szCs w:val="21"/>
          <w:lang w:eastAsia="zh-CN"/>
        </w:rPr>
      </w:pPr>
      <w:r>
        <w:rPr>
          <w:rFonts w:hint="eastAsia" w:ascii="宋体" w:hAnsi="宋体"/>
          <w:b w:val="0"/>
          <w:bCs/>
          <w:szCs w:val="21"/>
          <w:lang w:eastAsia="zh-CN"/>
        </w:rPr>
        <w:t>贷：其他应收款 2000</w:t>
      </w:r>
    </w:p>
    <w:p w14:paraId="24D06077">
      <w:pPr>
        <w:numPr>
          <w:ilvl w:val="0"/>
          <w:numId w:val="3"/>
        </w:numPr>
        <w:spacing w:line="360" w:lineRule="auto"/>
        <w:ind w:left="0" w:leftChars="0" w:firstLine="420" w:firstLineChars="0"/>
        <w:rPr>
          <w:rFonts w:hint="eastAsia" w:ascii="宋体" w:hAnsi="宋体"/>
          <w:b w:val="0"/>
          <w:bCs/>
          <w:szCs w:val="21"/>
          <w:lang w:val="en-US" w:eastAsia="zh-CN"/>
        </w:rPr>
      </w:pPr>
      <w:r>
        <w:rPr>
          <w:rFonts w:hint="eastAsia" w:ascii="宋体" w:hAnsi="宋体"/>
          <w:b w:val="0"/>
          <w:bCs/>
          <w:szCs w:val="21"/>
          <w:lang w:eastAsia="zh-CN"/>
        </w:rPr>
        <w:t xml:space="preserve">借：其他应收款 2000 </w:t>
      </w:r>
      <w:r>
        <w:rPr>
          <w:rFonts w:hint="eastAsia" w:ascii="宋体" w:hAnsi="宋体"/>
          <w:b w:val="0"/>
          <w:bCs/>
          <w:szCs w:val="21"/>
          <w:lang w:val="en-US" w:eastAsia="zh-CN"/>
        </w:rPr>
        <w:t xml:space="preserve"> </w:t>
      </w:r>
    </w:p>
    <w:p w14:paraId="62ECFAC9">
      <w:pPr>
        <w:numPr>
          <w:ilvl w:val="0"/>
          <w:numId w:val="0"/>
        </w:numPr>
        <w:spacing w:line="360" w:lineRule="auto"/>
        <w:ind w:left="420" w:leftChars="0" w:firstLine="630" w:firstLineChars="300"/>
        <w:rPr>
          <w:rFonts w:hint="eastAsia" w:ascii="宋体" w:hAnsi="宋体"/>
          <w:b w:val="0"/>
          <w:bCs/>
          <w:szCs w:val="21"/>
          <w:lang w:val="en-US" w:eastAsia="zh-CN"/>
        </w:rPr>
      </w:pPr>
      <w:r>
        <w:rPr>
          <w:rFonts w:hint="eastAsia" w:ascii="宋体" w:hAnsi="宋体"/>
          <w:b w:val="0"/>
          <w:bCs/>
          <w:szCs w:val="21"/>
          <w:lang w:eastAsia="zh-CN"/>
        </w:rPr>
        <w:t xml:space="preserve">贷：库存现金 500 </w:t>
      </w:r>
      <w:r>
        <w:rPr>
          <w:rFonts w:hint="eastAsia" w:ascii="宋体" w:hAnsi="宋体"/>
          <w:b w:val="0"/>
          <w:bCs/>
          <w:szCs w:val="21"/>
          <w:lang w:val="en-US" w:eastAsia="zh-CN"/>
        </w:rPr>
        <w:t xml:space="preserve">     </w:t>
      </w:r>
    </w:p>
    <w:p w14:paraId="389784E5">
      <w:pPr>
        <w:numPr>
          <w:ilvl w:val="0"/>
          <w:numId w:val="0"/>
        </w:numPr>
        <w:spacing w:line="360" w:lineRule="auto"/>
        <w:ind w:left="420" w:leftChars="0" w:firstLine="1050" w:firstLineChars="500"/>
        <w:rPr>
          <w:rFonts w:hint="eastAsia" w:ascii="宋体" w:hAnsi="宋体"/>
          <w:b w:val="0"/>
          <w:bCs/>
          <w:szCs w:val="21"/>
          <w:lang w:eastAsia="zh-CN"/>
        </w:rPr>
      </w:pPr>
      <w:r>
        <w:rPr>
          <w:rFonts w:hint="eastAsia" w:ascii="宋体" w:hAnsi="宋体"/>
          <w:b w:val="0"/>
          <w:bCs/>
          <w:szCs w:val="21"/>
          <w:lang w:eastAsia="zh-CN"/>
        </w:rPr>
        <w:t>管理费用 1500</w:t>
      </w:r>
    </w:p>
    <w:p w14:paraId="334B2D1A">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 xml:space="preserve">D. 借：管理费用 1500 </w:t>
      </w:r>
    </w:p>
    <w:p w14:paraId="15F7A28E">
      <w:pPr>
        <w:numPr>
          <w:ilvl w:val="0"/>
          <w:numId w:val="0"/>
        </w:numPr>
        <w:spacing w:line="360" w:lineRule="auto"/>
        <w:ind w:firstLine="1050" w:firstLineChars="500"/>
        <w:rPr>
          <w:rFonts w:hint="eastAsia" w:ascii="宋体" w:hAnsi="宋体"/>
          <w:b w:val="0"/>
          <w:bCs/>
          <w:szCs w:val="21"/>
          <w:lang w:val="en-US" w:eastAsia="zh-CN"/>
        </w:rPr>
      </w:pPr>
      <w:r>
        <w:rPr>
          <w:rFonts w:hint="eastAsia" w:ascii="宋体" w:hAnsi="宋体"/>
          <w:b w:val="0"/>
          <w:bCs/>
          <w:szCs w:val="21"/>
          <w:lang w:eastAsia="zh-CN"/>
        </w:rPr>
        <w:t xml:space="preserve">库存现金 500 </w:t>
      </w:r>
      <w:r>
        <w:rPr>
          <w:rFonts w:hint="eastAsia" w:ascii="宋体" w:hAnsi="宋体"/>
          <w:b w:val="0"/>
          <w:bCs/>
          <w:szCs w:val="21"/>
          <w:lang w:val="en-US" w:eastAsia="zh-CN"/>
        </w:rPr>
        <w:t xml:space="preserve">     </w:t>
      </w:r>
    </w:p>
    <w:p w14:paraId="1274FA57">
      <w:pPr>
        <w:numPr>
          <w:ilvl w:val="0"/>
          <w:numId w:val="0"/>
        </w:numPr>
        <w:spacing w:line="360" w:lineRule="auto"/>
        <w:ind w:firstLine="1050" w:firstLineChars="500"/>
        <w:rPr>
          <w:rFonts w:hint="eastAsia" w:ascii="宋体" w:hAnsi="宋体"/>
          <w:b w:val="0"/>
          <w:bCs/>
          <w:szCs w:val="21"/>
          <w:lang w:eastAsia="zh-CN"/>
        </w:rPr>
      </w:pPr>
      <w:r>
        <w:rPr>
          <w:rFonts w:hint="eastAsia" w:ascii="宋体" w:hAnsi="宋体"/>
          <w:b w:val="0"/>
          <w:bCs/>
          <w:szCs w:val="21"/>
          <w:lang w:eastAsia="zh-CN"/>
        </w:rPr>
        <w:t>贷：其他应收款 2000</w:t>
      </w:r>
    </w:p>
    <w:p w14:paraId="302CBE0D">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3.</w:t>
      </w:r>
      <w:r>
        <w:rPr>
          <w:rFonts w:hint="eastAsia" w:ascii="宋体" w:hAnsi="宋体"/>
          <w:b w:val="0"/>
          <w:bCs/>
          <w:szCs w:val="21"/>
          <w:lang w:eastAsia="zh-CN"/>
        </w:rPr>
        <w:t>某企业材料采用计划成本核算。月初结存材料计划成本为 130 万元，材料成本差异为节约 20 万元。当月购入材料一批，实际成本 110 万元，计划成本 120 万元，领用材料的计划成本为 100 万元。该企业当月领用材料的实际成本为（</w:t>
      </w:r>
      <w:r>
        <w:rPr>
          <w:rFonts w:hint="eastAsia" w:ascii="宋体" w:hAnsi="宋体"/>
          <w:b w:val="0"/>
          <w:bCs/>
          <w:szCs w:val="21"/>
          <w:lang w:val="en-US" w:eastAsia="zh-CN"/>
        </w:rPr>
        <w:t xml:space="preserve">    </w:t>
      </w:r>
      <w:r>
        <w:rPr>
          <w:rFonts w:hint="eastAsia" w:ascii="宋体" w:hAnsi="宋体"/>
          <w:b w:val="0"/>
          <w:bCs/>
          <w:szCs w:val="21"/>
          <w:lang w:eastAsia="zh-CN"/>
        </w:rPr>
        <w:t>）万元。</w:t>
      </w:r>
    </w:p>
    <w:p w14:paraId="6D8849F1">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A.88</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B.96</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C.100</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D.112</w:t>
      </w:r>
    </w:p>
    <w:p w14:paraId="617E0E9B">
      <w:pPr>
        <w:numPr>
          <w:ilvl w:val="0"/>
          <w:numId w:val="4"/>
        </w:numPr>
        <w:spacing w:line="360" w:lineRule="auto"/>
        <w:rPr>
          <w:rFonts w:hint="eastAsia" w:ascii="宋体" w:hAnsi="宋体"/>
          <w:b w:val="0"/>
          <w:bCs/>
          <w:szCs w:val="21"/>
          <w:lang w:eastAsia="zh-CN"/>
        </w:rPr>
      </w:pPr>
      <w:r>
        <w:rPr>
          <w:rFonts w:hint="eastAsia" w:ascii="宋体" w:hAnsi="宋体"/>
          <w:b w:val="0"/>
          <w:bCs/>
          <w:szCs w:val="21"/>
          <w:lang w:eastAsia="zh-CN"/>
        </w:rPr>
        <w:t>甲公司 2×21 年 7 月 1 日购入乙公司 2×21 年 1 月 1 日发行的债券，支付价款为 2100 万元（含已到付息期但尚未领取的债券利息 40 万元），另支付交易费用 15 万元。该债券面值为 2000 万元，票面年利率为 4%，每半年付息一次，甲公司将其划分为交易性金融资产。甲公司 2×21 年度该项交易性金融资产应确认的投资收益为（</w:t>
      </w:r>
      <w:r>
        <w:rPr>
          <w:rFonts w:hint="eastAsia" w:ascii="宋体" w:hAnsi="宋体"/>
          <w:b w:val="0"/>
          <w:bCs/>
          <w:szCs w:val="21"/>
          <w:lang w:val="en-US" w:eastAsia="zh-CN"/>
        </w:rPr>
        <w:t xml:space="preserve">    </w:t>
      </w:r>
      <w:r>
        <w:rPr>
          <w:rFonts w:hint="eastAsia" w:ascii="宋体" w:hAnsi="宋体"/>
          <w:b w:val="0"/>
          <w:bCs/>
          <w:szCs w:val="21"/>
          <w:lang w:eastAsia="zh-CN"/>
        </w:rPr>
        <w:t>）万元。</w:t>
      </w:r>
    </w:p>
    <w:p w14:paraId="7813576E">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A.25</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B.40</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C.65</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D.80</w:t>
      </w:r>
    </w:p>
    <w:p w14:paraId="11339C7E">
      <w:pPr>
        <w:numPr>
          <w:ilvl w:val="0"/>
          <w:numId w:val="4"/>
        </w:numPr>
        <w:spacing w:line="360" w:lineRule="auto"/>
        <w:ind w:left="0" w:leftChars="0" w:firstLine="0" w:firstLineChars="0"/>
        <w:rPr>
          <w:rFonts w:hint="eastAsia" w:ascii="宋体" w:hAnsi="宋体"/>
          <w:b w:val="0"/>
          <w:bCs/>
          <w:szCs w:val="21"/>
          <w:lang w:eastAsia="zh-CN"/>
        </w:rPr>
      </w:pPr>
      <w:r>
        <w:rPr>
          <w:rFonts w:hint="eastAsia" w:ascii="宋体" w:hAnsi="宋体"/>
          <w:b w:val="0"/>
          <w:bCs/>
          <w:szCs w:val="21"/>
          <w:lang w:eastAsia="zh-CN"/>
        </w:rPr>
        <w:t>下列项目中，不应计入固定资产入账价值的是（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43AD4543">
      <w:pPr>
        <w:numPr>
          <w:ilvl w:val="0"/>
          <w:numId w:val="5"/>
        </w:numPr>
        <w:spacing w:line="360" w:lineRule="auto"/>
        <w:ind w:leftChars="0" w:firstLine="420" w:firstLineChars="0"/>
        <w:rPr>
          <w:rFonts w:hint="eastAsia" w:ascii="宋体" w:hAnsi="宋体"/>
          <w:b w:val="0"/>
          <w:bCs/>
          <w:szCs w:val="21"/>
          <w:lang w:eastAsia="zh-CN"/>
        </w:rPr>
      </w:pPr>
      <w:r>
        <w:rPr>
          <w:rFonts w:hint="eastAsia" w:ascii="宋体" w:hAnsi="宋体"/>
          <w:b w:val="0"/>
          <w:bCs/>
          <w:szCs w:val="21"/>
          <w:lang w:eastAsia="zh-CN"/>
        </w:rPr>
        <w:t>固定资产安装过程中领用生产用原材料负担的增值税</w:t>
      </w:r>
    </w:p>
    <w:p w14:paraId="202F87CF">
      <w:pPr>
        <w:numPr>
          <w:ilvl w:val="0"/>
          <w:numId w:val="5"/>
        </w:numPr>
        <w:spacing w:line="360" w:lineRule="auto"/>
        <w:ind w:left="0" w:leftChars="0" w:firstLine="420" w:firstLineChars="0"/>
        <w:rPr>
          <w:rFonts w:hint="eastAsia" w:ascii="宋体" w:hAnsi="宋体"/>
          <w:b w:val="0"/>
          <w:bCs/>
          <w:szCs w:val="21"/>
          <w:lang w:eastAsia="zh-CN"/>
        </w:rPr>
      </w:pPr>
      <w:r>
        <w:rPr>
          <w:rFonts w:hint="eastAsia" w:ascii="宋体" w:hAnsi="宋体"/>
          <w:b w:val="0"/>
          <w:bCs/>
          <w:szCs w:val="21"/>
          <w:lang w:eastAsia="zh-CN"/>
        </w:rPr>
        <w:t>固定资产交付使用前发生的借款利息</w:t>
      </w:r>
    </w:p>
    <w:p w14:paraId="139FF2E9">
      <w:pPr>
        <w:numPr>
          <w:ilvl w:val="0"/>
          <w:numId w:val="5"/>
        </w:numPr>
        <w:spacing w:line="360" w:lineRule="auto"/>
        <w:ind w:left="0" w:leftChars="0" w:firstLine="420" w:firstLineChars="0"/>
        <w:rPr>
          <w:rFonts w:hint="eastAsia" w:ascii="宋体" w:hAnsi="宋体"/>
          <w:b w:val="0"/>
          <w:bCs/>
          <w:szCs w:val="21"/>
          <w:lang w:eastAsia="zh-CN"/>
        </w:rPr>
      </w:pPr>
      <w:r>
        <w:rPr>
          <w:rFonts w:hint="eastAsia" w:ascii="宋体" w:hAnsi="宋体"/>
          <w:b w:val="0"/>
          <w:bCs/>
          <w:szCs w:val="21"/>
          <w:lang w:eastAsia="zh-CN"/>
        </w:rPr>
        <w:t>固定资产交付使用后至竣工决算前发生的借款利息</w:t>
      </w:r>
    </w:p>
    <w:p w14:paraId="13AA3C97">
      <w:pPr>
        <w:numPr>
          <w:ilvl w:val="0"/>
          <w:numId w:val="0"/>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D. 固定资产改良过程中领用原材料负担的消费税</w:t>
      </w:r>
    </w:p>
    <w:p w14:paraId="3468E687">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6.</w:t>
      </w:r>
      <w:r>
        <w:rPr>
          <w:rFonts w:hint="eastAsia" w:ascii="宋体" w:hAnsi="宋体"/>
          <w:b w:val="0"/>
          <w:bCs/>
          <w:szCs w:val="21"/>
          <w:lang w:eastAsia="zh-CN"/>
        </w:rPr>
        <w:t>某企业 2×16 年 1 月 1 日购入一项无形资产，该无形资产的实际成本为 500 万元，摊销年限为 10 年。2×20 年 12 月 31 日，该无形资产发生减值，预计可收回金额为 180 万元。如果无形资产原摊销年限不变，2×21 年 12 月 31 日，该无形资产的账面价值为（</w:t>
      </w:r>
      <w:r>
        <w:rPr>
          <w:rFonts w:hint="eastAsia" w:ascii="宋体" w:hAnsi="宋体"/>
          <w:b w:val="0"/>
          <w:bCs/>
          <w:szCs w:val="21"/>
          <w:lang w:val="en-US" w:eastAsia="zh-CN"/>
        </w:rPr>
        <w:t xml:space="preserve">    </w:t>
      </w:r>
      <w:r>
        <w:rPr>
          <w:rFonts w:hint="eastAsia" w:ascii="宋体" w:hAnsi="宋体"/>
          <w:b w:val="0"/>
          <w:bCs/>
          <w:szCs w:val="21"/>
          <w:lang w:eastAsia="zh-CN"/>
        </w:rPr>
        <w:t>）万元。</w:t>
      </w:r>
    </w:p>
    <w:p w14:paraId="1BDAE11D">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A.170</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B.214</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C.200</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D.144</w:t>
      </w:r>
    </w:p>
    <w:p w14:paraId="3C91C438">
      <w:pPr>
        <w:numPr>
          <w:ilvl w:val="0"/>
          <w:numId w:val="6"/>
        </w:numPr>
        <w:spacing w:line="360" w:lineRule="auto"/>
        <w:rPr>
          <w:rFonts w:hint="eastAsia" w:ascii="宋体" w:hAnsi="宋体"/>
          <w:b w:val="0"/>
          <w:bCs/>
          <w:szCs w:val="21"/>
          <w:lang w:eastAsia="zh-CN"/>
        </w:rPr>
      </w:pPr>
      <w:r>
        <w:rPr>
          <w:rFonts w:hint="eastAsia" w:ascii="宋体" w:hAnsi="宋体"/>
          <w:b w:val="0"/>
          <w:bCs/>
          <w:szCs w:val="21"/>
          <w:lang w:eastAsia="zh-CN"/>
        </w:rPr>
        <w:t>房地产开发企业在正常经营过程中销售的或为销售而正在开发的商品房和土地属于（</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7894CCE2">
      <w:pPr>
        <w:numPr>
          <w:ilvl w:val="0"/>
          <w:numId w:val="7"/>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作为存货的房地产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投资性房地产</w:t>
      </w:r>
    </w:p>
    <w:p w14:paraId="2C096463">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经营性房地产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自用房地产</w:t>
      </w:r>
    </w:p>
    <w:p w14:paraId="032623B1">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8.</w:t>
      </w:r>
      <w:r>
        <w:rPr>
          <w:rFonts w:hint="eastAsia" w:ascii="宋体" w:hAnsi="宋体"/>
          <w:b w:val="0"/>
          <w:bCs/>
          <w:szCs w:val="21"/>
          <w:lang w:eastAsia="zh-CN"/>
        </w:rPr>
        <w:t>一般纳税人销售商品时发生的下列各项税金中，不影响企业损益的是（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682E5C0D">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消费税</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城市维护建设税</w:t>
      </w:r>
    </w:p>
    <w:p w14:paraId="0386996E">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增值税销项税额</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所得税</w:t>
      </w:r>
    </w:p>
    <w:p w14:paraId="55877BA9">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9.</w:t>
      </w:r>
      <w:r>
        <w:rPr>
          <w:rFonts w:hint="eastAsia" w:ascii="宋体" w:hAnsi="宋体"/>
          <w:b w:val="0"/>
          <w:bCs/>
          <w:szCs w:val="21"/>
          <w:lang w:eastAsia="zh-CN"/>
        </w:rPr>
        <w:t>在资本化期间内，对于专门借款闲置资金产生的利息收入或投资收益应（</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693511C7">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计入营业外收入</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计入投资收益</w:t>
      </w:r>
    </w:p>
    <w:p w14:paraId="297F0DE1">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冲减财务费用</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冲减借款费用资本化的金额</w:t>
      </w:r>
    </w:p>
    <w:p w14:paraId="6B99F43B">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10.</w:t>
      </w:r>
      <w:r>
        <w:rPr>
          <w:rFonts w:hint="eastAsia" w:ascii="宋体" w:hAnsi="宋体"/>
          <w:b w:val="0"/>
          <w:bCs/>
          <w:szCs w:val="21"/>
          <w:lang w:eastAsia="zh-CN"/>
        </w:rPr>
        <w:t>2×21 年 1 月 1 日，某企业所有者权益情况如下：实收资本 200 万元，资本公积 26 万元，盈余公积 28 万元，其他综合收益 20 万元，未分配利润 59 万元。则该企业 2×21 年 1 月 1 日留存收益为（</w:t>
      </w:r>
      <w:r>
        <w:rPr>
          <w:rFonts w:hint="eastAsia" w:ascii="宋体" w:hAnsi="宋体"/>
          <w:b w:val="0"/>
          <w:bCs/>
          <w:szCs w:val="21"/>
          <w:lang w:val="en-US" w:eastAsia="zh-CN"/>
        </w:rPr>
        <w:t xml:space="preserve">    </w:t>
      </w:r>
      <w:r>
        <w:rPr>
          <w:rFonts w:hint="eastAsia" w:ascii="宋体" w:hAnsi="宋体"/>
          <w:b w:val="0"/>
          <w:bCs/>
          <w:szCs w:val="21"/>
          <w:lang w:eastAsia="zh-CN"/>
        </w:rPr>
        <w:t>）万元。</w:t>
      </w:r>
    </w:p>
    <w:p w14:paraId="5566C198">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A.32</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B.38</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C.70</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D.87</w:t>
      </w:r>
    </w:p>
    <w:p w14:paraId="3C473249">
      <w:pPr>
        <w:numPr>
          <w:ilvl w:val="0"/>
          <w:numId w:val="8"/>
        </w:numPr>
        <w:spacing w:line="360" w:lineRule="auto"/>
        <w:rPr>
          <w:rFonts w:hint="eastAsia" w:ascii="宋体" w:hAnsi="宋体"/>
          <w:b w:val="0"/>
          <w:bCs/>
          <w:szCs w:val="21"/>
          <w:lang w:eastAsia="zh-CN"/>
        </w:rPr>
      </w:pPr>
      <w:r>
        <w:rPr>
          <w:rFonts w:hint="eastAsia" w:ascii="宋体" w:hAnsi="宋体"/>
          <w:b w:val="0"/>
          <w:bCs/>
          <w:szCs w:val="21"/>
          <w:lang w:eastAsia="zh-CN"/>
        </w:rPr>
        <w:t>采用预收方式销售商品的，确认商品销售收入的时点是（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7EDB5C6C">
      <w:pPr>
        <w:numPr>
          <w:ilvl w:val="0"/>
          <w:numId w:val="9"/>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首次付款时</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发出商品时</w:t>
      </w:r>
    </w:p>
    <w:p w14:paraId="06211E69">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货款全部付清时</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开出销售发票账单时</w:t>
      </w:r>
    </w:p>
    <w:p w14:paraId="0062C5A8">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12.</w:t>
      </w:r>
      <w:r>
        <w:rPr>
          <w:rFonts w:hint="eastAsia" w:ascii="宋体" w:hAnsi="宋体"/>
          <w:b w:val="0"/>
          <w:bCs/>
          <w:szCs w:val="21"/>
          <w:lang w:eastAsia="zh-CN"/>
        </w:rPr>
        <w:t>下列资产负债表项目中，不是根据科目余额减去其备抵项目后的净额填列的是（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7398E0B2">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固定资产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交易性金融资产</w:t>
      </w:r>
    </w:p>
    <w:p w14:paraId="12E79CE0">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无形资产</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其他债权投资</w:t>
      </w:r>
    </w:p>
    <w:p w14:paraId="5838759C">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13.</w:t>
      </w:r>
      <w:r>
        <w:rPr>
          <w:rFonts w:hint="eastAsia" w:ascii="宋体" w:hAnsi="宋体"/>
          <w:b w:val="0"/>
          <w:bCs/>
          <w:szCs w:val="21"/>
          <w:lang w:eastAsia="zh-CN"/>
        </w:rPr>
        <w:t>企业计提固定资产折旧首先是以（</w:t>
      </w:r>
      <w:r>
        <w:rPr>
          <w:rFonts w:hint="eastAsia" w:ascii="宋体" w:hAnsi="宋体"/>
          <w:b w:val="0"/>
          <w:bCs/>
          <w:szCs w:val="21"/>
          <w:lang w:val="en-US" w:eastAsia="zh-CN"/>
        </w:rPr>
        <w:t xml:space="preserve">    </w:t>
      </w:r>
      <w:r>
        <w:rPr>
          <w:rFonts w:hint="eastAsia" w:ascii="宋体" w:hAnsi="宋体"/>
          <w:b w:val="0"/>
          <w:bCs/>
          <w:szCs w:val="21"/>
          <w:lang w:eastAsia="zh-CN"/>
        </w:rPr>
        <w:t>）假设为前提的。</w:t>
      </w:r>
    </w:p>
    <w:p w14:paraId="26DEE69C">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会计主体</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会计分期</w:t>
      </w:r>
    </w:p>
    <w:p w14:paraId="5B41CC0B">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持续经营</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货币计量</w:t>
      </w:r>
    </w:p>
    <w:p w14:paraId="1676EA3D">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14.</w:t>
      </w:r>
      <w:r>
        <w:rPr>
          <w:rFonts w:hint="eastAsia" w:ascii="宋体" w:hAnsi="宋体"/>
          <w:b w:val="0"/>
          <w:bCs/>
          <w:szCs w:val="21"/>
          <w:lang w:eastAsia="zh-CN"/>
        </w:rPr>
        <w:t>（</w:t>
      </w:r>
      <w:r>
        <w:rPr>
          <w:rFonts w:hint="eastAsia" w:ascii="宋体" w:hAnsi="宋体"/>
          <w:b w:val="0"/>
          <w:bCs/>
          <w:szCs w:val="21"/>
          <w:lang w:val="en-US" w:eastAsia="zh-CN"/>
        </w:rPr>
        <w:t xml:space="preserve">    </w:t>
      </w:r>
      <w:r>
        <w:rPr>
          <w:rFonts w:hint="eastAsia" w:ascii="宋体" w:hAnsi="宋体"/>
          <w:b w:val="0"/>
          <w:bCs/>
          <w:szCs w:val="21"/>
          <w:lang w:eastAsia="zh-CN"/>
        </w:rPr>
        <w:t>）是由收款人、付款人（或承兑申请人）签发，由承兑人承兑，并于到期日向收款人或被背书人支付款项的票据。</w:t>
      </w:r>
    </w:p>
    <w:p w14:paraId="1C04F6FC">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银行本票</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银行汇票</w:t>
      </w:r>
    </w:p>
    <w:p w14:paraId="76CA3DD1">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支票</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商业汇票</w:t>
      </w:r>
    </w:p>
    <w:p w14:paraId="6BB4EFF2">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15.</w:t>
      </w:r>
      <w:r>
        <w:rPr>
          <w:rFonts w:hint="eastAsia" w:ascii="宋体" w:hAnsi="宋体"/>
          <w:b w:val="0"/>
          <w:bCs/>
          <w:szCs w:val="21"/>
          <w:lang w:eastAsia="zh-CN"/>
        </w:rPr>
        <w:t>某企业采用计划成本进行材料的日常核算。月初结存材料的计划成本为 80 万元，成本差异为超支 20 万元。当月购入材料一批，实际成本为 110 万元，计划成本为 120 万元。当月领用材料的计划成本为 100 万元，当月领用材料应负担的材料成本差异为（</w:t>
      </w:r>
      <w:r>
        <w:rPr>
          <w:rFonts w:hint="eastAsia" w:ascii="宋体" w:hAnsi="宋体"/>
          <w:b w:val="0"/>
          <w:bCs/>
          <w:szCs w:val="21"/>
          <w:lang w:val="en-US" w:eastAsia="zh-CN"/>
        </w:rPr>
        <w:t xml:space="preserve">    </w:t>
      </w:r>
      <w:r>
        <w:rPr>
          <w:rFonts w:hint="eastAsia" w:ascii="宋体" w:hAnsi="宋体"/>
          <w:b w:val="0"/>
          <w:bCs/>
          <w:szCs w:val="21"/>
          <w:lang w:eastAsia="zh-CN"/>
        </w:rPr>
        <w:t>）万元。</w:t>
      </w:r>
    </w:p>
    <w:p w14:paraId="6554E5E1">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超支 5</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节约 5</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 超支 15</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节约 15</w:t>
      </w:r>
    </w:p>
    <w:p w14:paraId="05AABF2A">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16.</w:t>
      </w:r>
      <w:r>
        <w:rPr>
          <w:rFonts w:hint="eastAsia" w:ascii="宋体" w:hAnsi="宋体"/>
          <w:b w:val="0"/>
          <w:bCs/>
          <w:szCs w:val="21"/>
          <w:lang w:eastAsia="zh-CN"/>
        </w:rPr>
        <w:t>应采用成本法核算的长期股权投资有（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2BA9040D">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对子公司的投资</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对联营企业的投资</w:t>
      </w:r>
    </w:p>
    <w:p w14:paraId="0CE10D1F">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对合营企业的投资</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无控制、共同控制或重大影响的权益性投资</w:t>
      </w:r>
    </w:p>
    <w:p w14:paraId="414F5F72">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17.</w:t>
      </w:r>
      <w:r>
        <w:rPr>
          <w:rFonts w:hint="eastAsia" w:ascii="宋体" w:hAnsi="宋体"/>
          <w:b w:val="0"/>
          <w:bCs/>
          <w:szCs w:val="21"/>
          <w:lang w:eastAsia="zh-CN"/>
        </w:rPr>
        <w:t>企业缴纳当期的增值税时，应借记的会计科目是（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09E40F4E">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A.“应交税费 —— 应交增值税（进项税额）”</w:t>
      </w:r>
    </w:p>
    <w:p w14:paraId="6BC4C408">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B.“应交税费 —— 应交增值税（进项税额转出）”</w:t>
      </w:r>
    </w:p>
    <w:p w14:paraId="33C40A1C">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C.“应交税费 —— 应交增值税（出口退税）”</w:t>
      </w:r>
    </w:p>
    <w:p w14:paraId="33D31E89">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D.“应交税费 —— 应交增值税（已交税金）”</w:t>
      </w:r>
    </w:p>
    <w:p w14:paraId="023F60DB">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18.</w:t>
      </w:r>
      <w:r>
        <w:rPr>
          <w:rFonts w:hint="eastAsia" w:ascii="宋体" w:hAnsi="宋体"/>
          <w:b w:val="0"/>
          <w:bCs/>
          <w:szCs w:val="21"/>
          <w:lang w:eastAsia="zh-CN"/>
        </w:rPr>
        <w:t>下列项目中，属于在某一时点确认收入的是（</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779376A4">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 酒店服务管理</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为客户建造办公大楼</w:t>
      </w:r>
    </w:p>
    <w:p w14:paraId="59CC7BD0">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企业履约过程中所产出的商品具有不可替代用途，且该企业在整个合同期间内有权就累计至今已完成的履约部分收取款项</w:t>
      </w:r>
    </w:p>
    <w:p w14:paraId="292579DF">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 为客户定制的具有可替代用途的产品</w:t>
      </w:r>
    </w:p>
    <w:p w14:paraId="046C023B">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19.</w:t>
      </w:r>
      <w:r>
        <w:rPr>
          <w:rFonts w:hint="eastAsia" w:ascii="宋体" w:hAnsi="宋体"/>
          <w:b w:val="0"/>
          <w:bCs/>
          <w:szCs w:val="21"/>
          <w:lang w:eastAsia="zh-CN"/>
        </w:rPr>
        <w:t>资产负债表中的 “未分配利润” 项目，应根据（</w:t>
      </w:r>
      <w:r>
        <w:rPr>
          <w:rFonts w:hint="eastAsia" w:ascii="宋体" w:hAnsi="宋体"/>
          <w:b w:val="0"/>
          <w:bCs/>
          <w:szCs w:val="21"/>
          <w:lang w:val="en-US" w:eastAsia="zh-CN"/>
        </w:rPr>
        <w:t xml:space="preserve">    </w:t>
      </w:r>
      <w:r>
        <w:rPr>
          <w:rFonts w:hint="eastAsia" w:ascii="宋体" w:hAnsi="宋体"/>
          <w:b w:val="0"/>
          <w:bCs/>
          <w:szCs w:val="21"/>
          <w:lang w:eastAsia="zh-CN"/>
        </w:rPr>
        <w:t>）填列。</w:t>
      </w:r>
    </w:p>
    <w:p w14:paraId="346A960D">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A.“利润分配” 科目余额</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B.“本年利润” 科目余额</w:t>
      </w:r>
    </w:p>
    <w:p w14:paraId="6B7AE7CC">
      <w:pPr>
        <w:numPr>
          <w:ilvl w:val="0"/>
          <w:numId w:val="0"/>
        </w:numPr>
        <w:spacing w:line="360" w:lineRule="auto"/>
        <w:ind w:firstLine="420" w:firstLineChars="0"/>
        <w:rPr>
          <w:rFonts w:hint="eastAsia" w:ascii="宋体" w:hAnsi="宋体"/>
          <w:b w:val="0"/>
          <w:bCs/>
          <w:szCs w:val="21"/>
          <w:lang w:val="en-US" w:eastAsia="zh-CN"/>
        </w:rPr>
      </w:pPr>
      <w:r>
        <w:rPr>
          <w:rFonts w:hint="eastAsia" w:ascii="宋体" w:hAnsi="宋体"/>
          <w:b w:val="0"/>
          <w:bCs/>
          <w:szCs w:val="21"/>
          <w:lang w:eastAsia="zh-CN"/>
        </w:rPr>
        <w:t>C.“盈余公积” 科目余额</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p>
    <w:p w14:paraId="2F4B8381">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D.“本年利润” 和 “利润分配” 科目的余额计算后</w:t>
      </w:r>
    </w:p>
    <w:p w14:paraId="2FA68411">
      <w:pPr>
        <w:numPr>
          <w:ilvl w:val="0"/>
          <w:numId w:val="0"/>
        </w:numPr>
        <w:spacing w:line="360" w:lineRule="auto"/>
        <w:rPr>
          <w:rFonts w:hint="eastAsia" w:ascii="宋体" w:hAnsi="宋体"/>
          <w:b w:val="0"/>
          <w:bCs/>
          <w:szCs w:val="21"/>
          <w:lang w:eastAsia="zh-CN"/>
        </w:rPr>
      </w:pPr>
      <w:r>
        <w:rPr>
          <w:rFonts w:hint="eastAsia" w:ascii="宋体" w:hAnsi="宋体"/>
          <w:b w:val="0"/>
          <w:bCs/>
          <w:szCs w:val="21"/>
          <w:lang w:val="en-US" w:eastAsia="zh-CN"/>
        </w:rPr>
        <w:t>20.</w:t>
      </w:r>
      <w:r>
        <w:rPr>
          <w:rFonts w:hint="eastAsia" w:ascii="宋体" w:hAnsi="宋体"/>
          <w:b w:val="0"/>
          <w:bCs/>
          <w:szCs w:val="21"/>
          <w:lang w:eastAsia="zh-CN"/>
        </w:rPr>
        <w:t>某企业 2×20 年 12 月 31 日购入一台设备，入账价值 90 万元，预计使用年限 5 年，预计净残值 6 万元，按年数总和法计算折旧。该设备 2×22 年计提的折旧额为（</w:t>
      </w:r>
      <w:r>
        <w:rPr>
          <w:rFonts w:hint="eastAsia" w:ascii="宋体" w:hAnsi="宋体"/>
          <w:b w:val="0"/>
          <w:bCs/>
          <w:szCs w:val="21"/>
          <w:lang w:val="en-US" w:eastAsia="zh-CN"/>
        </w:rPr>
        <w:t xml:space="preserve">    </w:t>
      </w:r>
      <w:r>
        <w:rPr>
          <w:rFonts w:hint="eastAsia" w:ascii="宋体" w:hAnsi="宋体"/>
          <w:b w:val="0"/>
          <w:bCs/>
          <w:szCs w:val="21"/>
          <w:lang w:eastAsia="zh-CN"/>
        </w:rPr>
        <w:t>）万元。</w:t>
      </w:r>
    </w:p>
    <w:p w14:paraId="1CB9078B">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A.16.8</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B.21.6</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C.22.4</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D.24</w:t>
      </w:r>
    </w:p>
    <w:p w14:paraId="3090760E">
      <w:pPr>
        <w:spacing w:line="360" w:lineRule="auto"/>
        <w:rPr>
          <w:rFonts w:hint="eastAsia" w:ascii="宋体" w:hAnsi="宋体"/>
          <w:b/>
          <w:szCs w:val="21"/>
          <w:lang w:eastAsia="zh-CN"/>
        </w:rPr>
      </w:pPr>
      <w:r>
        <w:rPr>
          <w:rFonts w:hint="eastAsia" w:ascii="宋体" w:hAnsi="宋体"/>
          <w:b/>
          <w:szCs w:val="21"/>
        </w:rPr>
        <w:t>二、多项选择题</w:t>
      </w:r>
    </w:p>
    <w:p w14:paraId="093F5986">
      <w:pPr>
        <w:spacing w:line="360" w:lineRule="auto"/>
        <w:rPr>
          <w:rFonts w:hint="eastAsia" w:ascii="宋体" w:hAnsi="宋体"/>
          <w:b w:val="0"/>
          <w:bCs/>
          <w:szCs w:val="21"/>
          <w:lang w:eastAsia="zh-CN"/>
        </w:rPr>
      </w:pPr>
      <w:r>
        <w:rPr>
          <w:rFonts w:hint="eastAsia" w:ascii="宋体" w:hAnsi="宋体"/>
          <w:b w:val="0"/>
          <w:bCs/>
          <w:szCs w:val="21"/>
          <w:lang w:val="en-US" w:eastAsia="zh-CN"/>
        </w:rPr>
        <w:t>1.</w:t>
      </w:r>
      <w:r>
        <w:rPr>
          <w:rFonts w:hint="eastAsia" w:ascii="宋体" w:hAnsi="宋体"/>
          <w:b w:val="0"/>
          <w:bCs/>
          <w:szCs w:val="21"/>
          <w:lang w:eastAsia="zh-CN"/>
        </w:rPr>
        <w:t>下列业务中，可以通过 “库存现金” 账户核算的有（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42208C65">
      <w:pPr>
        <w:numPr>
          <w:ilvl w:val="0"/>
          <w:numId w:val="10"/>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偿还前欠某单位货款 5000 元</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购买甲材料，支付货款 300 元</w:t>
      </w:r>
    </w:p>
    <w:p w14:paraId="116B15D0">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支付个人劳务报酬 1000 元</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购买计算机一台，支付货款 7500 元</w:t>
      </w:r>
    </w:p>
    <w:p w14:paraId="6D78A17E">
      <w:pPr>
        <w:numPr>
          <w:ilvl w:val="0"/>
          <w:numId w:val="0"/>
        </w:numPr>
        <w:spacing w:line="360" w:lineRule="auto"/>
        <w:ind w:firstLine="420" w:firstLineChars="200"/>
        <w:rPr>
          <w:rFonts w:hint="eastAsia" w:ascii="宋体" w:hAnsi="宋体"/>
          <w:b w:val="0"/>
          <w:bCs/>
          <w:szCs w:val="21"/>
          <w:lang w:eastAsia="zh-CN"/>
        </w:rPr>
      </w:pPr>
      <w:r>
        <w:rPr>
          <w:rFonts w:hint="eastAsia" w:ascii="宋体" w:hAnsi="宋体"/>
          <w:b w:val="0"/>
          <w:bCs/>
          <w:szCs w:val="21"/>
          <w:lang w:eastAsia="zh-CN"/>
        </w:rPr>
        <w:t>E. 支付银行承兑汇票手续费 1000 元</w:t>
      </w:r>
    </w:p>
    <w:p w14:paraId="7CB5A266">
      <w:pPr>
        <w:spacing w:line="360" w:lineRule="auto"/>
        <w:rPr>
          <w:rFonts w:hint="eastAsia" w:ascii="宋体" w:hAnsi="宋体"/>
          <w:b w:val="0"/>
          <w:bCs/>
          <w:szCs w:val="21"/>
          <w:lang w:eastAsia="zh-CN"/>
        </w:rPr>
      </w:pPr>
      <w:r>
        <w:rPr>
          <w:rFonts w:hint="eastAsia" w:ascii="宋体" w:hAnsi="宋体"/>
          <w:b w:val="0"/>
          <w:bCs/>
          <w:szCs w:val="21"/>
          <w:lang w:val="en-US" w:eastAsia="zh-CN"/>
        </w:rPr>
        <w:t>2.</w:t>
      </w:r>
      <w:r>
        <w:rPr>
          <w:rFonts w:hint="eastAsia" w:ascii="宋体" w:hAnsi="宋体"/>
          <w:b w:val="0"/>
          <w:bCs/>
          <w:szCs w:val="21"/>
          <w:lang w:eastAsia="zh-CN"/>
        </w:rPr>
        <w:t>原材料按实际成本核算，应设置的会计科目有（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2D13A336">
      <w:pPr>
        <w:numPr>
          <w:ilvl w:val="0"/>
          <w:numId w:val="11"/>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“原材料”</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B.“材料采购”</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C.“在途物资”</w:t>
      </w:r>
    </w:p>
    <w:p w14:paraId="21708A1E">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D.“材料成本差异”</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E.“应付账款”</w:t>
      </w:r>
    </w:p>
    <w:p w14:paraId="626C5629">
      <w:pPr>
        <w:spacing w:line="360" w:lineRule="auto"/>
        <w:rPr>
          <w:rFonts w:hint="eastAsia" w:ascii="宋体" w:hAnsi="宋体"/>
          <w:b w:val="0"/>
          <w:bCs/>
          <w:szCs w:val="21"/>
          <w:lang w:eastAsia="zh-CN"/>
        </w:rPr>
      </w:pPr>
      <w:r>
        <w:rPr>
          <w:rFonts w:hint="eastAsia" w:ascii="宋体" w:hAnsi="宋体"/>
          <w:b w:val="0"/>
          <w:bCs/>
          <w:szCs w:val="21"/>
          <w:lang w:val="en-US" w:eastAsia="zh-CN"/>
        </w:rPr>
        <w:t>3.</w:t>
      </w:r>
      <w:r>
        <w:rPr>
          <w:rFonts w:hint="eastAsia" w:ascii="宋体" w:hAnsi="宋体"/>
          <w:b w:val="0"/>
          <w:bCs/>
          <w:szCs w:val="21"/>
          <w:lang w:eastAsia="zh-CN"/>
        </w:rPr>
        <w:t>采用权益法核算的长期股权投资，长期股权投资科目应设置的明细科目有（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3BFA38C2">
      <w:pPr>
        <w:numPr>
          <w:ilvl w:val="0"/>
          <w:numId w:val="12"/>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“成本”</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B.“损益调整”</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C.“其他权益变动”</w:t>
      </w:r>
    </w:p>
    <w:p w14:paraId="1C0D5666">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D.“其他综合收益”</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E.“公允价值变动”</w:t>
      </w:r>
    </w:p>
    <w:p w14:paraId="34BCC687">
      <w:pPr>
        <w:spacing w:line="360" w:lineRule="auto"/>
        <w:rPr>
          <w:rFonts w:hint="eastAsia" w:ascii="宋体" w:hAnsi="宋体"/>
          <w:b w:val="0"/>
          <w:bCs/>
          <w:szCs w:val="21"/>
          <w:lang w:eastAsia="zh-CN"/>
        </w:rPr>
      </w:pPr>
      <w:r>
        <w:rPr>
          <w:rFonts w:hint="eastAsia" w:ascii="宋体" w:hAnsi="宋体"/>
          <w:b w:val="0"/>
          <w:bCs/>
          <w:szCs w:val="21"/>
          <w:lang w:val="en-US" w:eastAsia="zh-CN"/>
        </w:rPr>
        <w:t>4.</w:t>
      </w:r>
      <w:r>
        <w:rPr>
          <w:rFonts w:hint="eastAsia" w:ascii="宋体" w:hAnsi="宋体"/>
          <w:b w:val="0"/>
          <w:bCs/>
          <w:szCs w:val="21"/>
          <w:lang w:eastAsia="zh-CN"/>
        </w:rPr>
        <w:t>下列关于固定资产计提折旧的表述中，正确的有（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70F2DB37">
      <w:pPr>
        <w:numPr>
          <w:ilvl w:val="0"/>
          <w:numId w:val="13"/>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提前报废的固定资产不再补提折旧</w:t>
      </w:r>
      <w:r>
        <w:rPr>
          <w:rFonts w:hint="eastAsia" w:ascii="宋体" w:hAnsi="宋体"/>
          <w:b w:val="0"/>
          <w:bCs/>
          <w:szCs w:val="21"/>
          <w:lang w:val="en-US" w:eastAsia="zh-CN"/>
        </w:rPr>
        <w:tab/>
      </w:r>
    </w:p>
    <w:p w14:paraId="78E6CD52">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B. 固定资产折旧方法一经确定不得随意改变</w:t>
      </w:r>
    </w:p>
    <w:p w14:paraId="4D91F71E">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已提足折旧但仍继续使用的固定资产不再计提折旧</w:t>
      </w:r>
    </w:p>
    <w:p w14:paraId="76E15F4C">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 自行建造的固定资产应自办理竣工决算时开始计提折旧</w:t>
      </w:r>
    </w:p>
    <w:p w14:paraId="3EC06485">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E. 月份内增加的固定资产不计提折旧；月份内减少的固定资产照提折旧</w:t>
      </w:r>
    </w:p>
    <w:p w14:paraId="1D394442">
      <w:pPr>
        <w:spacing w:line="360" w:lineRule="auto"/>
        <w:rPr>
          <w:rFonts w:hint="eastAsia" w:ascii="宋体" w:hAnsi="宋体"/>
          <w:b w:val="0"/>
          <w:bCs/>
          <w:szCs w:val="21"/>
          <w:lang w:eastAsia="zh-CN"/>
        </w:rPr>
      </w:pPr>
      <w:r>
        <w:rPr>
          <w:rFonts w:hint="eastAsia" w:ascii="宋体" w:hAnsi="宋体"/>
          <w:b w:val="0"/>
          <w:bCs/>
          <w:szCs w:val="21"/>
          <w:lang w:val="en-US" w:eastAsia="zh-CN"/>
        </w:rPr>
        <w:t>5.</w:t>
      </w:r>
      <w:r>
        <w:rPr>
          <w:rFonts w:hint="eastAsia" w:ascii="宋体" w:hAnsi="宋体"/>
          <w:b w:val="0"/>
          <w:bCs/>
          <w:szCs w:val="21"/>
          <w:lang w:eastAsia="zh-CN"/>
        </w:rPr>
        <w:t>企业对使用寿命有限的无形资产进行摊销时，其摊销额应根据不同情况分别计入（</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501738C6">
      <w:pPr>
        <w:numPr>
          <w:ilvl w:val="0"/>
          <w:numId w:val="14"/>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管理费用</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制造费用</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 财务费用</w:t>
      </w:r>
    </w:p>
    <w:p w14:paraId="06525B85">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 其他业务成本</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E. 营业外支出</w:t>
      </w:r>
    </w:p>
    <w:p w14:paraId="47661D4B">
      <w:pPr>
        <w:spacing w:line="360" w:lineRule="auto"/>
        <w:rPr>
          <w:rFonts w:hint="eastAsia" w:ascii="宋体" w:hAnsi="宋体"/>
          <w:b w:val="0"/>
          <w:bCs/>
          <w:szCs w:val="21"/>
          <w:lang w:eastAsia="zh-CN"/>
        </w:rPr>
      </w:pPr>
      <w:r>
        <w:rPr>
          <w:rFonts w:hint="eastAsia" w:ascii="宋体" w:hAnsi="宋体"/>
          <w:b w:val="0"/>
          <w:bCs/>
          <w:szCs w:val="21"/>
          <w:lang w:val="en-US" w:eastAsia="zh-CN"/>
        </w:rPr>
        <w:t>6.</w:t>
      </w:r>
      <w:r>
        <w:rPr>
          <w:rFonts w:hint="eastAsia" w:ascii="宋体" w:hAnsi="宋体"/>
          <w:b w:val="0"/>
          <w:bCs/>
          <w:szCs w:val="21"/>
          <w:lang w:eastAsia="zh-CN"/>
        </w:rPr>
        <w:t>下列各项中，属于投资性房地产的有（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06F168E1">
      <w:pPr>
        <w:numPr>
          <w:ilvl w:val="0"/>
          <w:numId w:val="15"/>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企业拥有并出租给员工居住的宿舍</w:t>
      </w:r>
    </w:p>
    <w:p w14:paraId="4219D8F3">
      <w:pPr>
        <w:numPr>
          <w:ilvl w:val="0"/>
          <w:numId w:val="15"/>
        </w:numPr>
        <w:spacing w:line="360" w:lineRule="auto"/>
        <w:ind w:left="0" w:leftChars="0" w:firstLine="420" w:firstLineChars="0"/>
        <w:rPr>
          <w:rFonts w:hint="eastAsia" w:ascii="宋体" w:hAnsi="宋体"/>
          <w:b w:val="0"/>
          <w:bCs/>
          <w:szCs w:val="21"/>
          <w:lang w:eastAsia="zh-CN"/>
        </w:rPr>
      </w:pPr>
      <w:r>
        <w:rPr>
          <w:rFonts w:hint="eastAsia" w:ascii="宋体" w:hAnsi="宋体"/>
          <w:b w:val="0"/>
          <w:bCs/>
          <w:szCs w:val="21"/>
          <w:lang w:eastAsia="zh-CN"/>
        </w:rPr>
        <w:t>企业以经营租赁方式租出的写字楼</w:t>
      </w:r>
    </w:p>
    <w:p w14:paraId="283FD78D">
      <w:pPr>
        <w:numPr>
          <w:ilvl w:val="0"/>
          <w:numId w:val="15"/>
        </w:numPr>
        <w:spacing w:line="360" w:lineRule="auto"/>
        <w:ind w:left="0" w:leftChars="0" w:firstLine="420" w:firstLineChars="0"/>
        <w:rPr>
          <w:rFonts w:hint="eastAsia" w:ascii="宋体" w:hAnsi="宋体"/>
          <w:b w:val="0"/>
          <w:bCs/>
          <w:szCs w:val="21"/>
          <w:lang w:eastAsia="zh-CN"/>
        </w:rPr>
      </w:pPr>
      <w:r>
        <w:rPr>
          <w:rFonts w:hint="eastAsia" w:ascii="宋体" w:hAnsi="宋体"/>
          <w:b w:val="0"/>
          <w:bCs/>
          <w:szCs w:val="21"/>
          <w:lang w:eastAsia="zh-CN"/>
        </w:rPr>
        <w:t>房地产开发企业持有并准备增值后出售的房屋</w:t>
      </w:r>
    </w:p>
    <w:p w14:paraId="79E2E269">
      <w:pPr>
        <w:numPr>
          <w:ilvl w:val="0"/>
          <w:numId w:val="15"/>
        </w:numPr>
        <w:spacing w:line="360" w:lineRule="auto"/>
        <w:ind w:left="0" w:leftChars="0" w:firstLine="420" w:firstLineChars="0"/>
        <w:rPr>
          <w:rFonts w:hint="eastAsia" w:ascii="宋体" w:hAnsi="宋体"/>
          <w:b w:val="0"/>
          <w:bCs/>
          <w:szCs w:val="21"/>
          <w:lang w:eastAsia="zh-CN"/>
        </w:rPr>
      </w:pPr>
      <w:r>
        <w:rPr>
          <w:rFonts w:hint="eastAsia" w:ascii="宋体" w:hAnsi="宋体"/>
          <w:b w:val="0"/>
          <w:bCs/>
          <w:szCs w:val="21"/>
          <w:lang w:eastAsia="zh-CN"/>
        </w:rPr>
        <w:t>企业持有拟增值后转让的土地使用权</w:t>
      </w:r>
    </w:p>
    <w:p w14:paraId="44E04370">
      <w:pPr>
        <w:numPr>
          <w:ilvl w:val="0"/>
          <w:numId w:val="0"/>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E. 持有且拟用于建造职工宿舍的土地使用权</w:t>
      </w:r>
    </w:p>
    <w:p w14:paraId="476BE05F">
      <w:pPr>
        <w:spacing w:line="360" w:lineRule="auto"/>
        <w:rPr>
          <w:rFonts w:hint="eastAsia" w:ascii="宋体" w:hAnsi="宋体"/>
          <w:b w:val="0"/>
          <w:bCs/>
          <w:szCs w:val="21"/>
          <w:lang w:eastAsia="zh-CN"/>
        </w:rPr>
      </w:pPr>
      <w:r>
        <w:rPr>
          <w:rFonts w:hint="eastAsia" w:ascii="宋体" w:hAnsi="宋体"/>
          <w:b w:val="0"/>
          <w:bCs/>
          <w:szCs w:val="21"/>
          <w:lang w:val="en-US" w:eastAsia="zh-CN"/>
        </w:rPr>
        <w:t>7.</w:t>
      </w:r>
      <w:r>
        <w:rPr>
          <w:rFonts w:hint="eastAsia" w:ascii="宋体" w:hAnsi="宋体"/>
          <w:b w:val="0"/>
          <w:bCs/>
          <w:szCs w:val="21"/>
          <w:lang w:eastAsia="zh-CN"/>
        </w:rPr>
        <w:t>企业缴纳的下列税费中，不通过 “应交税费” 科目核算的有（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4C8859DD">
      <w:pPr>
        <w:numPr>
          <w:ilvl w:val="0"/>
          <w:numId w:val="16"/>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教育费附加</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印花税</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C. 耕地占用税</w:t>
      </w:r>
    </w:p>
    <w:p w14:paraId="7710036E">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D. 契税</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E. 关税</w:t>
      </w:r>
    </w:p>
    <w:p w14:paraId="013D3BB8">
      <w:pPr>
        <w:spacing w:line="360" w:lineRule="auto"/>
        <w:rPr>
          <w:rFonts w:hint="eastAsia" w:ascii="宋体" w:hAnsi="宋体"/>
          <w:b w:val="0"/>
          <w:bCs/>
          <w:szCs w:val="21"/>
          <w:lang w:eastAsia="zh-CN"/>
        </w:rPr>
      </w:pPr>
      <w:r>
        <w:rPr>
          <w:rFonts w:hint="eastAsia" w:ascii="宋体" w:hAnsi="宋体"/>
          <w:b w:val="0"/>
          <w:bCs/>
          <w:szCs w:val="21"/>
          <w:lang w:val="en-US" w:eastAsia="zh-CN"/>
        </w:rPr>
        <w:t>8.</w:t>
      </w:r>
      <w:r>
        <w:rPr>
          <w:rFonts w:hint="eastAsia" w:ascii="宋体" w:hAnsi="宋体"/>
          <w:b w:val="0"/>
          <w:bCs/>
          <w:szCs w:val="21"/>
          <w:lang w:eastAsia="zh-CN"/>
        </w:rPr>
        <w:t>企业的下列筹资方式中，属于长期负债的包括（</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25A90F31">
      <w:pPr>
        <w:numPr>
          <w:ilvl w:val="0"/>
          <w:numId w:val="17"/>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发行 3 年期公司债券</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发行 9 个月的公司债券</w:t>
      </w:r>
    </w:p>
    <w:p w14:paraId="5C9F5356">
      <w:pPr>
        <w:numPr>
          <w:ilvl w:val="0"/>
          <w:numId w:val="0"/>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C. 向银行借入 2 年期的借款</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债务担保</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 xml:space="preserve"> </w:t>
      </w:r>
      <w:r>
        <w:rPr>
          <w:rFonts w:hint="eastAsia" w:ascii="宋体" w:hAnsi="宋体"/>
          <w:b w:val="0"/>
          <w:bCs/>
          <w:szCs w:val="21"/>
          <w:lang w:val="en-US" w:eastAsia="zh-CN"/>
        </w:rPr>
        <w:tab/>
      </w:r>
      <w:r>
        <w:rPr>
          <w:rFonts w:hint="eastAsia" w:ascii="宋体" w:hAnsi="宋体"/>
          <w:b w:val="0"/>
          <w:bCs/>
          <w:szCs w:val="21"/>
          <w:lang w:eastAsia="zh-CN"/>
        </w:rPr>
        <w:t>E. 发行普通股票</w:t>
      </w:r>
    </w:p>
    <w:p w14:paraId="4541EA7C">
      <w:pPr>
        <w:spacing w:line="360" w:lineRule="auto"/>
        <w:rPr>
          <w:rFonts w:hint="eastAsia" w:ascii="宋体" w:hAnsi="宋体"/>
          <w:b w:val="0"/>
          <w:bCs/>
          <w:szCs w:val="21"/>
          <w:lang w:eastAsia="zh-CN"/>
        </w:rPr>
      </w:pPr>
      <w:r>
        <w:rPr>
          <w:rFonts w:hint="eastAsia" w:ascii="宋体" w:hAnsi="宋体"/>
          <w:b w:val="0"/>
          <w:bCs/>
          <w:szCs w:val="21"/>
          <w:lang w:val="en-US" w:eastAsia="zh-CN"/>
        </w:rPr>
        <w:t>9.</w:t>
      </w:r>
      <w:r>
        <w:rPr>
          <w:rFonts w:hint="eastAsia" w:ascii="宋体" w:hAnsi="宋体"/>
          <w:b w:val="0"/>
          <w:bCs/>
          <w:szCs w:val="21"/>
          <w:lang w:eastAsia="zh-CN"/>
        </w:rPr>
        <w:t>下列各项中，能够引起企业留存收益总额发生变动的有（</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532DD96A">
      <w:pPr>
        <w:numPr>
          <w:ilvl w:val="0"/>
          <w:numId w:val="18"/>
        </w:numPr>
        <w:spacing w:line="360" w:lineRule="auto"/>
        <w:ind w:firstLine="420" w:firstLineChars="0"/>
        <w:rPr>
          <w:rFonts w:hint="eastAsia" w:ascii="宋体" w:hAnsi="宋体"/>
          <w:b w:val="0"/>
          <w:bCs/>
          <w:szCs w:val="21"/>
          <w:lang w:eastAsia="zh-CN"/>
        </w:rPr>
      </w:pPr>
      <w:r>
        <w:rPr>
          <w:rFonts w:hint="eastAsia" w:ascii="宋体" w:hAnsi="宋体"/>
          <w:b w:val="0"/>
          <w:bCs/>
          <w:szCs w:val="21"/>
          <w:lang w:eastAsia="zh-CN"/>
        </w:rPr>
        <w:t>本年度实现的净利润</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提取法定盈余公积</w:t>
      </w:r>
    </w:p>
    <w:p w14:paraId="103D42AF">
      <w:pPr>
        <w:numPr>
          <w:ilvl w:val="0"/>
          <w:numId w:val="18"/>
        </w:numPr>
        <w:spacing w:line="360" w:lineRule="auto"/>
        <w:ind w:left="0" w:leftChars="0" w:firstLine="420" w:firstLineChars="0"/>
        <w:rPr>
          <w:rFonts w:hint="eastAsia" w:ascii="宋体" w:hAnsi="宋体"/>
          <w:b w:val="0"/>
          <w:bCs/>
          <w:szCs w:val="21"/>
          <w:lang w:eastAsia="zh-CN"/>
        </w:rPr>
      </w:pPr>
      <w:r>
        <w:rPr>
          <w:rFonts w:hint="eastAsia" w:ascii="宋体" w:hAnsi="宋体"/>
          <w:b w:val="0"/>
          <w:bCs/>
          <w:szCs w:val="21"/>
          <w:lang w:eastAsia="zh-CN"/>
        </w:rPr>
        <w:t>向投资者宣告分配现金股利</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用盈余公积转增资本</w:t>
      </w:r>
    </w:p>
    <w:p w14:paraId="20648525">
      <w:pPr>
        <w:numPr>
          <w:ilvl w:val="0"/>
          <w:numId w:val="0"/>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E. 提取任意盈余公积</w:t>
      </w:r>
    </w:p>
    <w:p w14:paraId="703D4600">
      <w:pPr>
        <w:spacing w:line="360" w:lineRule="auto"/>
        <w:rPr>
          <w:rFonts w:hint="eastAsia" w:ascii="宋体" w:hAnsi="宋体"/>
          <w:b w:val="0"/>
          <w:bCs/>
          <w:szCs w:val="21"/>
          <w:lang w:eastAsia="zh-CN"/>
        </w:rPr>
      </w:pPr>
      <w:r>
        <w:rPr>
          <w:rFonts w:hint="eastAsia" w:ascii="宋体" w:hAnsi="宋体"/>
          <w:b w:val="0"/>
          <w:bCs/>
          <w:szCs w:val="21"/>
          <w:lang w:val="en-US" w:eastAsia="zh-CN"/>
        </w:rPr>
        <w:t>10.</w:t>
      </w:r>
      <w:r>
        <w:rPr>
          <w:rFonts w:hint="eastAsia" w:ascii="宋体" w:hAnsi="宋体"/>
          <w:b w:val="0"/>
          <w:bCs/>
          <w:szCs w:val="21"/>
          <w:lang w:eastAsia="zh-CN"/>
        </w:rPr>
        <w:t>费用的特征包括（</w:t>
      </w:r>
      <w:r>
        <w:rPr>
          <w:rFonts w:hint="eastAsia" w:ascii="宋体" w:hAnsi="宋体"/>
          <w:b w:val="0"/>
          <w:bCs/>
          <w:szCs w:val="21"/>
          <w:lang w:val="en-US" w:eastAsia="zh-CN"/>
        </w:rPr>
        <w:t xml:space="preserve">    </w:t>
      </w:r>
      <w:r>
        <w:rPr>
          <w:rFonts w:hint="eastAsia" w:ascii="宋体" w:hAnsi="宋体"/>
          <w:b w:val="0"/>
          <w:bCs/>
          <w:szCs w:val="21"/>
          <w:lang w:eastAsia="zh-CN"/>
        </w:rPr>
        <w:t>）。</w:t>
      </w:r>
    </w:p>
    <w:p w14:paraId="523072B5">
      <w:pPr>
        <w:numPr>
          <w:ilvl w:val="0"/>
          <w:numId w:val="19"/>
        </w:numPr>
        <w:spacing w:line="360" w:lineRule="auto"/>
        <w:ind w:left="420" w:leftChars="0"/>
        <w:rPr>
          <w:rFonts w:hint="eastAsia" w:ascii="宋体" w:hAnsi="宋体"/>
          <w:b w:val="0"/>
          <w:bCs/>
          <w:szCs w:val="21"/>
          <w:lang w:eastAsia="zh-CN"/>
        </w:rPr>
      </w:pPr>
      <w:r>
        <w:rPr>
          <w:rFonts w:hint="eastAsia" w:ascii="宋体" w:hAnsi="宋体"/>
          <w:b w:val="0"/>
          <w:bCs/>
          <w:szCs w:val="21"/>
          <w:lang w:eastAsia="zh-CN"/>
        </w:rPr>
        <w:t>费用是企业在日常活动中形成的</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B. 费用会导致企业所有者权益的减少</w:t>
      </w:r>
    </w:p>
    <w:p w14:paraId="7020734A">
      <w:pPr>
        <w:numPr>
          <w:ilvl w:val="0"/>
          <w:numId w:val="19"/>
        </w:numPr>
        <w:spacing w:line="360" w:lineRule="auto"/>
        <w:ind w:left="420" w:leftChars="0" w:firstLine="0" w:firstLineChars="0"/>
        <w:rPr>
          <w:rFonts w:hint="eastAsia" w:ascii="宋体" w:hAnsi="宋体"/>
          <w:b w:val="0"/>
          <w:bCs/>
          <w:szCs w:val="21"/>
          <w:lang w:eastAsia="zh-CN"/>
        </w:rPr>
      </w:pPr>
      <w:r>
        <w:rPr>
          <w:rFonts w:hint="eastAsia" w:ascii="宋体" w:hAnsi="宋体"/>
          <w:b w:val="0"/>
          <w:bCs/>
          <w:szCs w:val="21"/>
          <w:lang w:eastAsia="zh-CN"/>
        </w:rPr>
        <w:t>费用与所有者分配利润无关</w:t>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val="en-US" w:eastAsia="zh-CN"/>
        </w:rPr>
        <w:tab/>
      </w:r>
      <w:r>
        <w:rPr>
          <w:rFonts w:hint="eastAsia" w:ascii="宋体" w:hAnsi="宋体"/>
          <w:b w:val="0"/>
          <w:bCs/>
          <w:szCs w:val="21"/>
          <w:lang w:eastAsia="zh-CN"/>
        </w:rPr>
        <w:t>D. 费用是实实在在发生的</w:t>
      </w:r>
    </w:p>
    <w:p w14:paraId="6E988654">
      <w:pPr>
        <w:numPr>
          <w:ilvl w:val="0"/>
          <w:numId w:val="0"/>
        </w:numPr>
        <w:spacing w:line="360" w:lineRule="auto"/>
        <w:ind w:leftChars="0" w:firstLine="420" w:firstLineChars="0"/>
        <w:rPr>
          <w:rFonts w:hint="eastAsia" w:ascii="宋体" w:hAnsi="宋体"/>
          <w:b w:val="0"/>
          <w:bCs/>
          <w:szCs w:val="21"/>
          <w:lang w:eastAsia="zh-CN"/>
        </w:rPr>
      </w:pPr>
      <w:r>
        <w:rPr>
          <w:rFonts w:hint="eastAsia" w:ascii="宋体" w:hAnsi="宋体"/>
          <w:b w:val="0"/>
          <w:bCs/>
          <w:szCs w:val="21"/>
          <w:lang w:eastAsia="zh-CN"/>
        </w:rPr>
        <w:t>E. 费用与商品销售无关</w:t>
      </w:r>
    </w:p>
    <w:p w14:paraId="48BC24C3">
      <w:pPr>
        <w:spacing w:line="360" w:lineRule="auto"/>
        <w:rPr>
          <w:rFonts w:hint="eastAsia" w:ascii="宋体" w:hAnsi="宋体"/>
          <w:b/>
          <w:szCs w:val="21"/>
        </w:rPr>
      </w:pPr>
      <w:r>
        <w:rPr>
          <w:rFonts w:hint="eastAsia" w:ascii="宋体" w:hAnsi="宋体"/>
          <w:b/>
          <w:szCs w:val="21"/>
        </w:rPr>
        <w:t>三、</w:t>
      </w:r>
      <w:r>
        <w:rPr>
          <w:rFonts w:hint="eastAsia" w:ascii="宋体" w:hAnsi="宋体"/>
          <w:b/>
          <w:szCs w:val="21"/>
          <w:lang w:val="en-US" w:eastAsia="zh-CN"/>
        </w:rPr>
        <w:t>判断</w:t>
      </w:r>
      <w:r>
        <w:rPr>
          <w:rFonts w:hint="eastAsia" w:ascii="宋体" w:hAnsi="宋体"/>
          <w:b/>
          <w:szCs w:val="21"/>
        </w:rPr>
        <w:t>题</w:t>
      </w:r>
    </w:p>
    <w:p w14:paraId="50FB9E64">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w:t>
      </w:r>
      <w:r>
        <w:rPr>
          <w:rFonts w:hint="default" w:ascii="等线" w:hAnsi="等线" w:eastAsia="等线" w:cs="Times New Roman"/>
          <w:color w:val="000000"/>
          <w:kern w:val="2"/>
          <w:sz w:val="21"/>
          <w:szCs w:val="21"/>
          <w:lang w:val="en-US" w:eastAsia="zh-CN" w:bidi="ar"/>
        </w:rPr>
        <w:t>可比性要求企业的会计核算方法前后各期应当保持一致，不得随意变更。但是，在符合一定条件的情况下，企业也可以变更会计政策，并在附注中说明。（</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4A35498A">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w:t>
      </w:r>
      <w:r>
        <w:rPr>
          <w:rFonts w:hint="default" w:ascii="等线" w:hAnsi="等线" w:eastAsia="等线" w:cs="Times New Roman"/>
          <w:color w:val="000000"/>
          <w:kern w:val="2"/>
          <w:sz w:val="21"/>
          <w:szCs w:val="21"/>
          <w:lang w:val="en-US" w:eastAsia="zh-CN" w:bidi="ar"/>
        </w:rPr>
        <w:t>对于预付款项不多的企业，可以将预付的款项直接记入 “应付账款” 账户的借方，不设置 “预付账款” 科目。但在编制财务报表时，要将 “预付账款” 和 “应收账款” 的金额分开列示。（</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01801CDA">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w:t>
      </w:r>
      <w:r>
        <w:rPr>
          <w:rFonts w:hint="default" w:ascii="等线" w:hAnsi="等线" w:eastAsia="等线" w:cs="Times New Roman"/>
          <w:color w:val="000000"/>
          <w:kern w:val="2"/>
          <w:sz w:val="21"/>
          <w:szCs w:val="21"/>
          <w:lang w:val="en-US" w:eastAsia="zh-CN" w:bidi="ar"/>
        </w:rPr>
        <w:t>2×21 年 12 月 31 日，甲公司 A 材料的账面余额为 100000 元。由于市场价格下跌，预计可变现净值为 80000 元，则 A 材料的期末账面价值为 80000 元。（</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14042713">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w:t>
      </w:r>
      <w:r>
        <w:rPr>
          <w:rFonts w:hint="default" w:ascii="等线" w:hAnsi="等线" w:eastAsia="等线" w:cs="Times New Roman"/>
          <w:color w:val="000000"/>
          <w:kern w:val="2"/>
          <w:sz w:val="21"/>
          <w:szCs w:val="21"/>
          <w:lang w:val="en-US" w:eastAsia="zh-CN" w:bidi="ar"/>
        </w:rPr>
        <w:t>以摊余成本计量的金融资产可以重分类为以公允价值计量且其变动计入其他综合收益的金融资产。（</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4E7C865E">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5.</w:t>
      </w:r>
      <w:r>
        <w:rPr>
          <w:rFonts w:hint="default" w:ascii="等线" w:hAnsi="等线" w:eastAsia="等线" w:cs="Times New Roman"/>
          <w:color w:val="000000"/>
          <w:kern w:val="2"/>
          <w:sz w:val="21"/>
          <w:szCs w:val="21"/>
          <w:lang w:val="en-US" w:eastAsia="zh-CN" w:bidi="ar"/>
        </w:rPr>
        <w:t>固定资产当月增加当月不提折旧，当月减少当月照常提折旧。（</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2C764143">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6.</w:t>
      </w:r>
      <w:r>
        <w:rPr>
          <w:rFonts w:hint="default" w:ascii="等线" w:hAnsi="等线" w:eastAsia="等线" w:cs="Times New Roman"/>
          <w:color w:val="000000"/>
          <w:kern w:val="2"/>
          <w:sz w:val="21"/>
          <w:szCs w:val="21"/>
          <w:lang w:val="en-US" w:eastAsia="zh-CN" w:bidi="ar"/>
        </w:rPr>
        <w:t>计提无形资产减值准备不影响无形资产的摊销。（</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6F813E92">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7.</w:t>
      </w:r>
      <w:r>
        <w:rPr>
          <w:rFonts w:hint="default" w:ascii="等线" w:hAnsi="等线" w:eastAsia="等线" w:cs="Times New Roman"/>
          <w:color w:val="000000"/>
          <w:kern w:val="2"/>
          <w:sz w:val="21"/>
          <w:szCs w:val="21"/>
          <w:lang w:val="en-US" w:eastAsia="zh-CN" w:bidi="ar"/>
        </w:rPr>
        <w:t>企业出售、转让、报废投资性房地产或者发生投资性房地产毁损时，应当将处置收入扣除其账面价值和相关税费后的金额计入当期损益即投资收益。（</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25628815">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8.</w:t>
      </w:r>
      <w:r>
        <w:rPr>
          <w:rFonts w:hint="default" w:ascii="等线" w:hAnsi="等线" w:eastAsia="等线" w:cs="Times New Roman"/>
          <w:color w:val="000000"/>
          <w:kern w:val="2"/>
          <w:sz w:val="21"/>
          <w:szCs w:val="21"/>
          <w:lang w:val="en-US" w:eastAsia="zh-CN" w:bidi="ar"/>
        </w:rPr>
        <w:t>将于 1 年内到期的长期负债，按照规定，应在资产负债表中作为流动负债反映。（</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495AE513">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9.</w:t>
      </w:r>
      <w:r>
        <w:rPr>
          <w:rFonts w:hint="default" w:ascii="等线" w:hAnsi="等线" w:eastAsia="等线" w:cs="Times New Roman"/>
          <w:color w:val="000000"/>
          <w:kern w:val="2"/>
          <w:sz w:val="21"/>
          <w:szCs w:val="21"/>
          <w:lang w:val="en-US" w:eastAsia="zh-CN" w:bidi="ar"/>
        </w:rPr>
        <w:t>合同变更增加了可明确区分的商品及合同价款，且新增合同价款反映了新增商品单独售价的，应当将该合同变更部分作为一份单独的合同进行会计处理。（</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4A73F29F">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10.</w:t>
      </w:r>
      <w:r>
        <w:rPr>
          <w:rFonts w:hint="default" w:ascii="等线" w:hAnsi="等线" w:eastAsia="等线" w:cs="Times New Roman"/>
          <w:color w:val="000000"/>
          <w:kern w:val="2"/>
          <w:sz w:val="21"/>
          <w:szCs w:val="21"/>
          <w:lang w:val="en-US" w:eastAsia="zh-CN" w:bidi="ar"/>
        </w:rPr>
        <w:t>用银行存款支付经营性租赁设备的租金属于融资活动现金流量。（</w:t>
      </w:r>
      <w:r>
        <w:rPr>
          <w:rFonts w:hint="eastAsia" w:ascii="等线" w:hAnsi="等线" w:eastAsia="等线" w:cs="Times New Roman"/>
          <w:color w:val="000000"/>
          <w:kern w:val="2"/>
          <w:sz w:val="21"/>
          <w:szCs w:val="21"/>
          <w:lang w:val="en-US" w:eastAsia="zh-CN" w:bidi="ar"/>
        </w:rPr>
        <w:t xml:space="preserve">    </w:t>
      </w:r>
      <w:r>
        <w:rPr>
          <w:rFonts w:hint="default" w:ascii="等线" w:hAnsi="等线" w:eastAsia="等线" w:cs="Times New Roman"/>
          <w:color w:val="000000"/>
          <w:kern w:val="2"/>
          <w:sz w:val="21"/>
          <w:szCs w:val="21"/>
          <w:lang w:val="en-US" w:eastAsia="zh-CN" w:bidi="ar"/>
        </w:rPr>
        <w:t>）</w:t>
      </w:r>
    </w:p>
    <w:p w14:paraId="3D648448">
      <w:pPr>
        <w:numPr>
          <w:ilvl w:val="0"/>
          <w:numId w:val="20"/>
        </w:numPr>
        <w:spacing w:line="360" w:lineRule="auto"/>
        <w:rPr>
          <w:rFonts w:hint="eastAsia" w:ascii="宋体" w:hAnsi="宋体"/>
          <w:b/>
          <w:szCs w:val="21"/>
        </w:rPr>
      </w:pPr>
      <w:r>
        <w:rPr>
          <w:rFonts w:hint="eastAsia" w:ascii="宋体" w:hAnsi="宋体"/>
          <w:b/>
          <w:szCs w:val="21"/>
          <w:lang w:val="en-US" w:eastAsia="zh-CN"/>
        </w:rPr>
        <w:t>计算</w:t>
      </w:r>
      <w:r>
        <w:rPr>
          <w:rFonts w:hint="eastAsia" w:ascii="宋体" w:hAnsi="宋体"/>
          <w:b/>
          <w:szCs w:val="21"/>
        </w:rPr>
        <w:t>题</w:t>
      </w:r>
    </w:p>
    <w:p w14:paraId="5DFFBE8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宋体" w:hAnsi="宋体"/>
          <w:szCs w:val="21"/>
          <w:lang w:val="en-US" w:eastAsia="zh-CN"/>
        </w:rPr>
        <w:t>1</w:t>
      </w:r>
      <w:r>
        <w:rPr>
          <w:rFonts w:hint="eastAsia" w:ascii="等线" w:hAnsi="等线" w:eastAsia="等线" w:cs="Times New Roman"/>
          <w:color w:val="000000"/>
          <w:kern w:val="2"/>
          <w:sz w:val="21"/>
          <w:szCs w:val="21"/>
          <w:lang w:val="en-US" w:eastAsia="zh-CN" w:bidi="ar"/>
        </w:rPr>
        <w:t>.甲公司7月初“原材料”账户的余额为200000元，“材料成本差异”账户余额为4000元（贷方），本月购入原材料的计划成本为600000元，实际成本为612000元。本月发出材料的计划成本为700000元。</w:t>
      </w:r>
    </w:p>
    <w:p w14:paraId="49C58BB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要求：</w:t>
      </w:r>
    </w:p>
    <w:p w14:paraId="4BAE4012">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（1）计算期初库存材料的实际成本。</w:t>
      </w:r>
    </w:p>
    <w:p w14:paraId="3C5BE5FB">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（2）计算本月材料成本差异率。</w:t>
      </w:r>
    </w:p>
    <w:p w14:paraId="594A4BC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（3）计算发出材料的实际成本。</w:t>
      </w:r>
    </w:p>
    <w:p w14:paraId="4A9B1B3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（4）计算期末库存材料的实际成本。</w:t>
      </w:r>
    </w:p>
    <w:p w14:paraId="279135E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2.甲公司固定资产折旧的相关资料如下：</w:t>
      </w:r>
    </w:p>
    <w:p w14:paraId="561611C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（1）甲公司2×20年12月15日购买</w:t>
      </w:r>
      <w:bookmarkStart w:id="0" w:name="_Hlk176774382"/>
      <w:r>
        <w:rPr>
          <w:rFonts w:hint="eastAsia" w:ascii="等线" w:hAnsi="等线" w:eastAsia="等线" w:cs="Times New Roman"/>
          <w:color w:val="000000"/>
          <w:kern w:val="2"/>
          <w:sz w:val="21"/>
          <w:szCs w:val="21"/>
          <w:lang w:val="en-US" w:eastAsia="zh-CN" w:bidi="ar"/>
        </w:rPr>
        <w:t>一</w:t>
      </w:r>
      <w:bookmarkEnd w:id="0"/>
      <w:r>
        <w:rPr>
          <w:rFonts w:hint="eastAsia" w:ascii="等线" w:hAnsi="等线" w:eastAsia="等线" w:cs="Times New Roman"/>
          <w:color w:val="000000"/>
          <w:kern w:val="2"/>
          <w:sz w:val="21"/>
          <w:szCs w:val="21"/>
          <w:lang w:val="en-US" w:eastAsia="zh-CN" w:bidi="ar"/>
        </w:rPr>
        <w:t>台设备供一车间使用，采用工作量法计提折旧。该设备原价60万元，预计总工作时数为20万小时，预计净残值为5万元。该设备2×21年1月工作量为4000小时。</w:t>
      </w:r>
    </w:p>
    <w:p w14:paraId="1338839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（2）厂部新办公楼2×20年12月20日交付使用，采用平均年限法计提折旧。该办公楼原价620万元，预计使用年限20年，预计净残值20万元。</w:t>
      </w:r>
    </w:p>
    <w:p w14:paraId="3FB458D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假定2×21年1月份未发生固定资产增减业务，不考虑固定资产减值。</w:t>
      </w:r>
    </w:p>
    <w:p w14:paraId="29A09E3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要求：</w:t>
      </w:r>
    </w:p>
    <w:p w14:paraId="5A910D27">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（1）计算甲公司2×21年1月份应计提的折旧额。</w:t>
      </w:r>
    </w:p>
    <w:p w14:paraId="0F1E00A3">
      <w:pPr>
        <w:keepNext w:val="0"/>
        <w:keepLines w:val="0"/>
        <w:widowControl w:val="0"/>
        <w:suppressLineNumbers w:val="0"/>
        <w:spacing w:before="0" w:beforeAutospacing="0" w:after="0" w:afterAutospacing="0"/>
        <w:ind w:left="0" w:right="0"/>
        <w:jc w:val="both"/>
      </w:pPr>
      <w:r>
        <w:rPr>
          <w:rFonts w:hint="eastAsia" w:ascii="等线" w:hAnsi="等线" w:eastAsia="等线" w:cs="Times New Roman"/>
          <w:color w:val="000000"/>
          <w:kern w:val="2"/>
          <w:sz w:val="21"/>
          <w:szCs w:val="21"/>
          <w:lang w:val="en-US" w:eastAsia="zh-CN" w:bidi="ar"/>
        </w:rPr>
        <w:t>（2）编制甲公司2×21年1月份计提折旧的会计分录。</w:t>
      </w:r>
      <w:r>
        <w:rPr>
          <w:rFonts w:hint="eastAsia" w:ascii="宋体" w:hAnsi="宋体"/>
          <w:szCs w:val="21"/>
          <w:lang w:val="en-US" w:eastAsia="zh-CN"/>
        </w:rPr>
        <w:t xml:space="preserve"> </w:t>
      </w:r>
    </w:p>
    <w:p w14:paraId="5DD3E2EB">
      <w:pPr>
        <w:spacing w:line="360" w:lineRule="auto"/>
        <w:rPr>
          <w:rFonts w:hint="eastAsia" w:ascii="宋体" w:hAnsi="宋体"/>
          <w:szCs w:val="21"/>
        </w:rPr>
      </w:pPr>
      <w:r>
        <w:rPr>
          <w:rFonts w:hint="eastAsia" w:ascii="宋体" w:hAnsi="宋体"/>
          <w:b/>
          <w:szCs w:val="21"/>
          <w:lang w:val="en-US" w:eastAsia="zh-CN"/>
        </w:rPr>
        <w:t>五</w:t>
      </w:r>
      <w:r>
        <w:rPr>
          <w:rFonts w:hint="eastAsia" w:ascii="宋体" w:hAnsi="宋体"/>
          <w:b/>
          <w:szCs w:val="21"/>
        </w:rPr>
        <w:t>、</w:t>
      </w:r>
      <w:r>
        <w:rPr>
          <w:rFonts w:hint="eastAsia" w:ascii="宋体" w:hAnsi="宋体"/>
          <w:b/>
          <w:szCs w:val="21"/>
          <w:lang w:val="en-US" w:eastAsia="zh-CN"/>
        </w:rPr>
        <w:t>业务</w:t>
      </w:r>
      <w:r>
        <w:rPr>
          <w:rFonts w:hint="eastAsia" w:ascii="宋体" w:hAnsi="宋体"/>
          <w:b/>
          <w:szCs w:val="21"/>
        </w:rPr>
        <w:t>题</w:t>
      </w:r>
    </w:p>
    <w:p w14:paraId="096F991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1.A公司为增值税一般纳税人。2×21年1月，A公司因生产需要，决定用自营方式建造一座仓库，有关资料如下：</w:t>
      </w:r>
    </w:p>
    <w:p w14:paraId="00F9B66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（1）2X21年1月5日，购进工程用专项物资20万元，增值税额为2.6万元，该批专项物资已验收入库，款项用银行存款付讫。</w:t>
      </w:r>
    </w:p>
    <w:p w14:paraId="66C6353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（2）领用上述专项物资，用于建造仓库.</w:t>
      </w:r>
    </w:p>
    <w:p w14:paraId="3D2E971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（3）领用本单位生产水泥一批用于工程建设，该批水泥成本为2万元，税务部门核定的计税价格为3万元，增值税税率为13%。</w:t>
      </w:r>
    </w:p>
    <w:p w14:paraId="308AC8C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（4）领用本单位外购原材料一批用于工程建设，原材料实际成本为1万元，应负担的增值税额为0.13万元。</w:t>
      </w:r>
    </w:p>
    <w:p w14:paraId="4B3F735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（5）2×21年1月13日，应付职工工资2万元，用银行存款支付其他费用0.92万元。</w:t>
      </w:r>
    </w:p>
    <w:p w14:paraId="41CB171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（6）2×21年3月31日，该仓库达到预定可使用状态，估计可使用20年，估计净残值为2万元，采用直线法计提折旧。</w:t>
      </w:r>
    </w:p>
    <w:p w14:paraId="0DAC5F6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（7）2×21年12月31日，该仓库突遭火灾焚毁，残料估计价值5万元，验收入库，用银行存款支付清理费用2万元。经保险公司核定的应赔偿损失7万元，尚未收到赔款。A公司确认了该仓库的毁损损失。</w:t>
      </w:r>
    </w:p>
    <w:p w14:paraId="7B7DF1A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要求：</w:t>
      </w:r>
    </w:p>
    <w:p w14:paraId="240A9FCF">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（1）计算该仓库2×21年3月21日的入账价值。</w:t>
      </w:r>
    </w:p>
    <w:p w14:paraId="38C8F4B9">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（2）计算2×21年该仓库应计提折旧额。</w:t>
      </w:r>
    </w:p>
    <w:p w14:paraId="69CFC25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（3）编制A公司2×21年度与上述经济业务相关的会计分录。 </w:t>
      </w:r>
    </w:p>
    <w:p w14:paraId="21DADA7C">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2.资料：华联实业股份有限公司发生下列经济业务。</w:t>
      </w:r>
    </w:p>
    <w:p w14:paraId="7A09A55C">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（1）用银行存款支付上月职工工资2000000元。</w:t>
      </w:r>
    </w:p>
    <w:p w14:paraId="7C824F81">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（2）企业把自产产品作为薪酬发放给职工，每位职工发放一件产品，每件产品售价5000元，增值税650元，每件产品成本3000元，发放产品的职工为：生产工人200人，公司管理人员20人。</w:t>
      </w:r>
    </w:p>
    <w:p w14:paraId="6D9BCB11">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（3）计算本月应付职工工资，生产工人工资1200000元，车间管理人员工资200000元，公司管理人员工资300000元。</w:t>
      </w:r>
    </w:p>
    <w:p w14:paraId="4A7A9A7F">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要求：编制上述业务的会计分录。</w:t>
      </w:r>
    </w:p>
    <w:p w14:paraId="52EAC794">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3.甲、乙两个投资者向某有限责任公司投资，甲投资者投入自产产品一批，双方确认价值为180万元（假设是公允的），税务部门认定增值税为23.4万元，并开具了增值税专用发票。乙投资者投入货币资金9万元和一项专利技术，货币资金已经存入开户银行，该专利技术原账面价值为128万元，预计使用寿命为16年，已摊销40万元，计提减值准备10万元，双方确认的价值为80万元（假设是公允的）。假定甲、乙两位投资者投资时均不产生资本公积。2年后，丙投资者向该公司追加投资，其缴付该公司的出资额为人民币176万元，协议约定丙投资者享有的注册资本金额为130万元。（假设甲、乙两个投资者出资额与其在注册资本中所享有的份额相等，不产生资本公积）</w:t>
      </w:r>
    </w:p>
    <w:p w14:paraId="44942917">
      <w:pPr>
        <w:keepNext w:val="0"/>
        <w:keepLines w:val="0"/>
        <w:widowControl w:val="0"/>
        <w:suppressLineNumbers w:val="0"/>
        <w:spacing w:before="0" w:beforeAutospacing="0" w:after="0" w:afterAutospacing="0"/>
        <w:ind w:left="0" w:right="0"/>
        <w:jc w:val="both"/>
        <w:rPr>
          <w:szCs w:val="21"/>
          <w:lang w:val="en-US"/>
        </w:rPr>
      </w:pPr>
      <w:r>
        <w:rPr>
          <w:rFonts w:hint="eastAsia" w:ascii="等线" w:hAnsi="等线" w:eastAsia="等线" w:cs="Times New Roman"/>
          <w:color w:val="000000"/>
          <w:kern w:val="2"/>
          <w:sz w:val="21"/>
          <w:szCs w:val="21"/>
          <w:lang w:val="en-US" w:eastAsia="zh-CN" w:bidi="ar"/>
        </w:rPr>
        <w:t>要求：根据上述资料，分别编制被投资公司接受甲、乙、丙投资的有关会计分录。（分录中的金额单位为万元）</w:t>
      </w:r>
    </w:p>
    <w:p w14:paraId="5F8A8632">
      <w:pPr>
        <w:spacing w:line="360" w:lineRule="auto"/>
        <w:rPr>
          <w:rFonts w:hint="eastAsia" w:ascii="宋体" w:hAnsi="宋体"/>
          <w:b/>
          <w:szCs w:val="21"/>
        </w:rPr>
      </w:pPr>
      <w:r>
        <w:rPr>
          <w:rFonts w:hint="eastAsia" w:ascii="宋体" w:hAnsi="宋体"/>
          <w:b/>
          <w:szCs w:val="21"/>
        </w:rPr>
        <w:t>一、单项选择题</w:t>
      </w:r>
    </w:p>
    <w:p w14:paraId="4ED85FB0">
      <w:pPr>
        <w:spacing w:line="360" w:lineRule="auto"/>
        <w:rPr>
          <w:rFonts w:hint="eastAsia" w:ascii="宋体" w:hAnsi="宋体"/>
          <w:szCs w:val="21"/>
        </w:rPr>
      </w:pPr>
      <w:r>
        <w:rPr>
          <w:rFonts w:hint="eastAsia" w:ascii="宋体" w:hAnsi="宋体"/>
          <w:szCs w:val="21"/>
        </w:rPr>
        <w:t>1、A     2、</w:t>
      </w:r>
      <w:r>
        <w:rPr>
          <w:rFonts w:hint="eastAsia" w:ascii="宋体" w:hAnsi="宋体"/>
          <w:szCs w:val="21"/>
          <w:lang w:val="en-US" w:eastAsia="zh-CN"/>
        </w:rPr>
        <w:t>D</w:t>
      </w:r>
      <w:r>
        <w:rPr>
          <w:rFonts w:ascii="宋体" w:hAnsi="宋体"/>
          <w:szCs w:val="21"/>
        </w:rPr>
        <w:t xml:space="preserve"> </w:t>
      </w:r>
      <w:r>
        <w:rPr>
          <w:rFonts w:hint="eastAsia" w:ascii="宋体" w:hAnsi="宋体"/>
          <w:szCs w:val="21"/>
        </w:rPr>
        <w:t xml:space="preserve">   3、</w:t>
      </w:r>
      <w:r>
        <w:rPr>
          <w:rFonts w:hint="eastAsia" w:ascii="宋体" w:hAnsi="宋体"/>
          <w:szCs w:val="21"/>
          <w:lang w:val="en-US" w:eastAsia="zh-CN"/>
        </w:rPr>
        <w:t>A</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4、</w:t>
      </w:r>
      <w:r>
        <w:rPr>
          <w:rFonts w:hint="eastAsia" w:ascii="宋体" w:hAnsi="宋体"/>
          <w:szCs w:val="21"/>
          <w:lang w:val="en-US" w:eastAsia="zh-CN"/>
        </w:rPr>
        <w:t>A</w:t>
      </w:r>
      <w:r>
        <w:rPr>
          <w:rFonts w:hint="eastAsia" w:ascii="宋体" w:hAnsi="宋体"/>
          <w:szCs w:val="21"/>
        </w:rPr>
        <w:t xml:space="preserve">    5、</w:t>
      </w:r>
      <w:r>
        <w:rPr>
          <w:rFonts w:hint="eastAsia" w:ascii="宋体" w:hAnsi="宋体"/>
          <w:szCs w:val="21"/>
          <w:lang w:val="en-US" w:eastAsia="zh-CN"/>
        </w:rPr>
        <w:t>C</w:t>
      </w:r>
      <w:r>
        <w:rPr>
          <w:rFonts w:hint="eastAsia" w:ascii="宋体" w:hAnsi="宋体"/>
          <w:szCs w:val="21"/>
        </w:rPr>
        <w:t xml:space="preserve">    6、</w:t>
      </w:r>
      <w:r>
        <w:rPr>
          <w:rFonts w:hint="eastAsia" w:ascii="宋体" w:hAnsi="宋体"/>
          <w:szCs w:val="21"/>
          <w:lang w:val="en-US" w:eastAsia="zh-CN"/>
        </w:rPr>
        <w:t>D</w:t>
      </w:r>
      <w:r>
        <w:rPr>
          <w:rFonts w:ascii="宋体" w:hAnsi="宋体"/>
          <w:szCs w:val="21"/>
        </w:rPr>
        <w:t xml:space="preserve"> </w:t>
      </w:r>
      <w:r>
        <w:rPr>
          <w:rFonts w:hint="eastAsia" w:ascii="宋体" w:hAnsi="宋体"/>
          <w:szCs w:val="21"/>
        </w:rPr>
        <w:t xml:space="preserve">   7、</w:t>
      </w:r>
      <w:r>
        <w:rPr>
          <w:rFonts w:hint="eastAsia" w:ascii="宋体" w:hAnsi="宋体"/>
          <w:szCs w:val="21"/>
          <w:lang w:val="en-US" w:eastAsia="zh-CN"/>
        </w:rPr>
        <w:t>A</w:t>
      </w:r>
      <w:r>
        <w:rPr>
          <w:rFonts w:ascii="宋体" w:hAnsi="宋体"/>
          <w:szCs w:val="21"/>
        </w:rPr>
        <w:t xml:space="preserve"> </w:t>
      </w:r>
      <w:r>
        <w:rPr>
          <w:rFonts w:hint="eastAsia" w:ascii="宋体" w:hAnsi="宋体"/>
          <w:szCs w:val="21"/>
        </w:rPr>
        <w:t xml:space="preserve">   8、</w:t>
      </w:r>
      <w:r>
        <w:rPr>
          <w:rFonts w:hint="eastAsia" w:ascii="宋体" w:hAnsi="宋体"/>
          <w:szCs w:val="21"/>
          <w:lang w:val="en-US" w:eastAsia="zh-CN"/>
        </w:rPr>
        <w:t>C</w:t>
      </w:r>
      <w:r>
        <w:rPr>
          <w:rFonts w:hint="eastAsia" w:ascii="宋体" w:hAnsi="宋体"/>
          <w:szCs w:val="21"/>
        </w:rPr>
        <w:t xml:space="preserve">    9、D    10、</w:t>
      </w:r>
      <w:r>
        <w:rPr>
          <w:rFonts w:hint="eastAsia" w:ascii="宋体" w:hAnsi="宋体"/>
          <w:szCs w:val="21"/>
          <w:lang w:val="en-US" w:eastAsia="zh-CN"/>
        </w:rPr>
        <w:t>D</w:t>
      </w:r>
      <w:r>
        <w:rPr>
          <w:rFonts w:hint="eastAsia" w:ascii="宋体" w:hAnsi="宋体"/>
          <w:szCs w:val="21"/>
        </w:rPr>
        <w:t xml:space="preserve">  </w:t>
      </w:r>
    </w:p>
    <w:p w14:paraId="7459A96D">
      <w:pPr>
        <w:spacing w:line="360" w:lineRule="auto"/>
        <w:rPr>
          <w:rFonts w:hint="eastAsia" w:ascii="宋体" w:hAnsi="宋体"/>
          <w:szCs w:val="21"/>
          <w:lang w:val="en-US" w:eastAsia="zh-CN"/>
        </w:rPr>
      </w:pPr>
      <w:r>
        <w:rPr>
          <w:rFonts w:hint="eastAsia" w:ascii="宋体" w:hAnsi="宋体"/>
          <w:szCs w:val="21"/>
        </w:rPr>
        <w:t>11、</w:t>
      </w:r>
      <w:r>
        <w:rPr>
          <w:rFonts w:hint="eastAsia" w:ascii="宋体" w:hAnsi="宋体"/>
          <w:szCs w:val="21"/>
          <w:lang w:val="en-US" w:eastAsia="zh-CN"/>
        </w:rPr>
        <w:t>B</w:t>
      </w:r>
      <w:r>
        <w:rPr>
          <w:rFonts w:hint="eastAsia" w:ascii="宋体" w:hAnsi="宋体"/>
          <w:szCs w:val="21"/>
        </w:rPr>
        <w:t xml:space="preserve">   12、</w:t>
      </w:r>
      <w:r>
        <w:rPr>
          <w:rFonts w:hint="eastAsia" w:ascii="宋体" w:hAnsi="宋体"/>
          <w:szCs w:val="21"/>
          <w:lang w:val="en-US" w:eastAsia="zh-CN"/>
        </w:rPr>
        <w:t>B</w:t>
      </w:r>
      <w:r>
        <w:rPr>
          <w:rFonts w:hint="eastAsia" w:ascii="宋体" w:hAnsi="宋体"/>
          <w:szCs w:val="21"/>
        </w:rPr>
        <w:t xml:space="preserve">   13、C   14、</w:t>
      </w:r>
      <w:r>
        <w:rPr>
          <w:rFonts w:hint="eastAsia" w:ascii="宋体" w:hAnsi="宋体"/>
          <w:szCs w:val="21"/>
          <w:lang w:val="en-US" w:eastAsia="zh-CN"/>
        </w:rPr>
        <w:t>D</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15、A   </w:t>
      </w:r>
    </w:p>
    <w:p w14:paraId="509E01D7">
      <w:pPr>
        <w:spacing w:line="360" w:lineRule="auto"/>
        <w:rPr>
          <w:rFonts w:hint="eastAsia" w:ascii="宋体" w:hAnsi="宋体"/>
          <w:b/>
          <w:szCs w:val="21"/>
        </w:rPr>
      </w:pPr>
      <w:r>
        <w:rPr>
          <w:rFonts w:hint="eastAsia" w:ascii="宋体" w:hAnsi="宋体"/>
          <w:b/>
          <w:szCs w:val="21"/>
        </w:rPr>
        <w:t>二、多项选择题</w:t>
      </w:r>
    </w:p>
    <w:p w14:paraId="28AC552A">
      <w:pPr>
        <w:spacing w:line="360" w:lineRule="auto"/>
        <w:rPr>
          <w:rFonts w:hint="eastAsia" w:ascii="宋体" w:hAnsi="宋体"/>
          <w:szCs w:val="21"/>
        </w:rPr>
      </w:pPr>
      <w:r>
        <w:rPr>
          <w:rFonts w:hint="eastAsia" w:ascii="宋体" w:hAnsi="宋体"/>
          <w:szCs w:val="21"/>
        </w:rPr>
        <w:t>1、</w:t>
      </w:r>
      <w:r>
        <w:rPr>
          <w:rFonts w:hint="eastAsia" w:ascii="等线" w:hAnsi="等线" w:eastAsia="等线" w:cs="Times New Roman"/>
          <w:color w:val="000000"/>
          <w:kern w:val="2"/>
          <w:sz w:val="21"/>
          <w:szCs w:val="21"/>
          <w:lang w:val="en-US" w:eastAsia="zh-CN" w:bidi="ar"/>
        </w:rPr>
        <w:t>BC</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2、</w:t>
      </w:r>
      <w:r>
        <w:rPr>
          <w:rFonts w:hint="eastAsia" w:ascii="等线" w:hAnsi="等线" w:eastAsia="等线" w:cs="Times New Roman"/>
          <w:color w:val="000000"/>
          <w:kern w:val="2"/>
          <w:sz w:val="21"/>
          <w:szCs w:val="21"/>
          <w:lang w:val="en-US" w:eastAsia="zh-CN" w:bidi="ar"/>
        </w:rPr>
        <w:t>ACE</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3、</w:t>
      </w:r>
      <w:r>
        <w:rPr>
          <w:rFonts w:hint="eastAsia" w:ascii="等线" w:hAnsi="等线" w:eastAsia="等线" w:cs="Times New Roman"/>
          <w:color w:val="000000"/>
          <w:kern w:val="2"/>
          <w:sz w:val="21"/>
          <w:szCs w:val="21"/>
          <w:lang w:val="en-US" w:eastAsia="zh-CN" w:bidi="ar"/>
        </w:rPr>
        <w:t>ABCD</w:t>
      </w:r>
      <w:r>
        <w:rPr>
          <w:rFonts w:hint="eastAsia" w:ascii="宋体" w:hAnsi="宋体"/>
          <w:szCs w:val="21"/>
        </w:rPr>
        <w:t xml:space="preserve">  4、</w:t>
      </w:r>
      <w:r>
        <w:rPr>
          <w:rFonts w:hint="eastAsia" w:ascii="等线" w:hAnsi="等线" w:eastAsia="等线" w:cs="Times New Roman"/>
          <w:color w:val="000000"/>
          <w:kern w:val="2"/>
          <w:sz w:val="21"/>
          <w:szCs w:val="21"/>
          <w:lang w:val="en-US" w:eastAsia="zh-CN" w:bidi="ar"/>
        </w:rPr>
        <w:t>ABCE</w:t>
      </w:r>
      <w:r>
        <w:rPr>
          <w:rFonts w:hint="eastAsia" w:ascii="宋体" w:hAnsi="宋体"/>
          <w:szCs w:val="21"/>
        </w:rPr>
        <w:t xml:space="preserve">  5、</w:t>
      </w:r>
      <w:r>
        <w:rPr>
          <w:rFonts w:hint="eastAsia" w:ascii="等线" w:hAnsi="等线" w:eastAsia="等线" w:cs="Times New Roman"/>
          <w:color w:val="000000"/>
          <w:kern w:val="2"/>
          <w:sz w:val="21"/>
          <w:szCs w:val="21"/>
          <w:lang w:val="en-US" w:eastAsia="zh-CN" w:bidi="ar"/>
        </w:rPr>
        <w:t>ABD</w:t>
      </w:r>
      <w:r>
        <w:rPr>
          <w:rFonts w:hint="eastAsia" w:ascii="宋体" w:hAnsi="宋体"/>
          <w:szCs w:val="21"/>
        </w:rPr>
        <w:t xml:space="preserve">  </w:t>
      </w:r>
    </w:p>
    <w:p w14:paraId="4B0D56C7">
      <w:pPr>
        <w:spacing w:line="360" w:lineRule="auto"/>
        <w:rPr>
          <w:rFonts w:hint="eastAsia" w:ascii="宋体" w:hAnsi="宋体"/>
          <w:szCs w:val="21"/>
          <w:lang w:val="en-US" w:eastAsia="zh-CN"/>
        </w:rPr>
      </w:pPr>
      <w:r>
        <w:rPr>
          <w:rFonts w:hint="eastAsia" w:ascii="宋体" w:hAnsi="宋体"/>
          <w:szCs w:val="21"/>
        </w:rPr>
        <w:t>6、</w:t>
      </w:r>
      <w:r>
        <w:rPr>
          <w:rFonts w:hint="eastAsia" w:ascii="等线" w:hAnsi="等线" w:eastAsia="等线" w:cs="Times New Roman"/>
          <w:color w:val="000000"/>
          <w:kern w:val="2"/>
          <w:sz w:val="21"/>
          <w:szCs w:val="21"/>
          <w:lang w:val="en-US" w:eastAsia="zh-CN" w:bidi="ar"/>
        </w:rPr>
        <w:t>BD</w:t>
      </w:r>
      <w:r>
        <w:rPr>
          <w:rFonts w:hint="eastAsia" w:ascii="宋体" w:hAnsi="宋体"/>
          <w:szCs w:val="21"/>
          <w:lang w:val="en-US" w:eastAsia="zh-CN"/>
        </w:rPr>
        <w:t xml:space="preserve"> </w:t>
      </w:r>
      <w:r>
        <w:rPr>
          <w:rFonts w:hint="eastAsia" w:ascii="宋体" w:hAnsi="宋体"/>
          <w:szCs w:val="21"/>
        </w:rPr>
        <w:t xml:space="preserve">  7、</w:t>
      </w:r>
      <w:r>
        <w:rPr>
          <w:rFonts w:hint="eastAsia" w:ascii="等线" w:hAnsi="等线" w:eastAsia="等线" w:cs="Times New Roman"/>
          <w:color w:val="000000"/>
          <w:kern w:val="2"/>
          <w:sz w:val="21"/>
          <w:szCs w:val="21"/>
          <w:lang w:val="en-US" w:eastAsia="zh-CN" w:bidi="ar"/>
        </w:rPr>
        <w:t>BCDE</w:t>
      </w:r>
      <w:r>
        <w:rPr>
          <w:rFonts w:hint="eastAsia" w:ascii="宋体" w:hAnsi="宋体"/>
          <w:szCs w:val="21"/>
          <w:lang w:val="en-US" w:eastAsia="zh-CN"/>
        </w:rPr>
        <w:t xml:space="preserve"> </w:t>
      </w:r>
      <w:r>
        <w:rPr>
          <w:rFonts w:hint="eastAsia" w:ascii="宋体" w:hAnsi="宋体"/>
          <w:szCs w:val="21"/>
        </w:rPr>
        <w:t xml:space="preserve">  </w:t>
      </w:r>
    </w:p>
    <w:p w14:paraId="1B552617">
      <w:pPr>
        <w:spacing w:line="360" w:lineRule="auto"/>
        <w:rPr>
          <w:rFonts w:hint="eastAsia" w:ascii="宋体" w:hAnsi="宋体"/>
          <w:b/>
          <w:szCs w:val="21"/>
        </w:rPr>
      </w:pPr>
      <w:r>
        <w:rPr>
          <w:rFonts w:hint="eastAsia" w:ascii="宋体" w:hAnsi="宋体"/>
          <w:b/>
          <w:szCs w:val="21"/>
        </w:rPr>
        <w:t>三、</w:t>
      </w:r>
      <w:r>
        <w:rPr>
          <w:rFonts w:hint="eastAsia" w:ascii="宋体" w:hAnsi="宋体"/>
          <w:b/>
          <w:szCs w:val="21"/>
          <w:lang w:val="en-US" w:eastAsia="zh-CN"/>
        </w:rPr>
        <w:t>判断</w:t>
      </w:r>
      <w:r>
        <w:rPr>
          <w:rFonts w:hint="eastAsia" w:ascii="宋体" w:hAnsi="宋体"/>
          <w:b/>
          <w:szCs w:val="21"/>
        </w:rPr>
        <w:t>题</w:t>
      </w:r>
    </w:p>
    <w:p w14:paraId="0BD38AB6">
      <w:pPr>
        <w:keepNext w:val="0"/>
        <w:keepLines w:val="0"/>
        <w:widowControl w:val="0"/>
        <w:suppressLineNumbers w:val="0"/>
        <w:spacing w:before="0" w:beforeAutospacing="0" w:after="0" w:afterAutospacing="0"/>
        <w:ind w:left="0" w:right="0"/>
        <w:jc w:val="both"/>
        <w:rPr>
          <w:rFonts w:hint="eastAsia" w:ascii="宋体" w:hAnsi="宋体"/>
          <w:szCs w:val="21"/>
        </w:rPr>
      </w:pPr>
      <w:r>
        <w:rPr>
          <w:rFonts w:hint="eastAsia" w:ascii="宋体" w:hAnsi="宋体"/>
          <w:szCs w:val="21"/>
        </w:rPr>
        <w:t>1、</w:t>
      </w:r>
      <w:r>
        <w:rPr>
          <w:rFonts w:ascii="宋体" w:hAnsi="宋体" w:eastAsia="宋体" w:cs="宋体"/>
        </w:rPr>
        <w:t>√</w:t>
      </w:r>
      <w:r>
        <w:rPr>
          <w:rFonts w:hint="eastAsia" w:ascii="宋体" w:hAnsi="宋体"/>
          <w:szCs w:val="21"/>
        </w:rPr>
        <w:t xml:space="preserve"> 2、</w:t>
      </w:r>
      <w:r>
        <w:rPr>
          <w:rFonts w:ascii="宋体" w:hAnsi="宋体" w:eastAsia="宋体" w:cs="宋体"/>
        </w:rPr>
        <w:t>√</w:t>
      </w:r>
      <w:r>
        <w:rPr>
          <w:rFonts w:hint="eastAsia" w:ascii="宋体" w:hAnsi="宋体"/>
          <w:szCs w:val="21"/>
        </w:rPr>
        <w:t xml:space="preserve">  3、</w:t>
      </w:r>
      <w:r>
        <w:rPr>
          <w:rFonts w:ascii="宋体" w:hAnsi="宋体" w:eastAsia="宋体" w:cs="宋体"/>
        </w:rPr>
        <w:t>√</w:t>
      </w:r>
      <w:r>
        <w:rPr>
          <w:rFonts w:ascii="宋体" w:hAnsi="宋体"/>
          <w:szCs w:val="21"/>
        </w:rPr>
        <w:t xml:space="preserve"> </w:t>
      </w:r>
      <w:r>
        <w:rPr>
          <w:rFonts w:hint="eastAsia" w:ascii="宋体" w:hAnsi="宋体"/>
          <w:szCs w:val="21"/>
        </w:rPr>
        <w:t xml:space="preserve"> 4、</w:t>
      </w:r>
      <w:r>
        <w:rPr>
          <w:rFonts w:ascii="宋体" w:hAnsi="宋体" w:eastAsia="宋体" w:cs="宋体"/>
        </w:rPr>
        <w:t>√</w:t>
      </w:r>
      <w:r>
        <w:rPr>
          <w:rFonts w:hint="eastAsia" w:ascii="宋体" w:hAnsi="宋体"/>
          <w:szCs w:val="21"/>
        </w:rPr>
        <w:t xml:space="preserve">  5、</w:t>
      </w:r>
      <w:r>
        <w:rPr>
          <w:rFonts w:ascii="宋体" w:hAnsi="宋体" w:eastAsia="宋体" w:cs="宋体"/>
        </w:rPr>
        <w:t>√</w:t>
      </w:r>
      <w:r>
        <w:rPr>
          <w:rFonts w:hint="eastAsia" w:ascii="宋体" w:hAnsi="宋体"/>
          <w:szCs w:val="21"/>
        </w:rPr>
        <w:t xml:space="preserve">  6、</w:t>
      </w:r>
      <w:r>
        <w:rPr>
          <w:rFonts w:ascii="宋体" w:hAnsi="宋体" w:cs="宋体"/>
          <w:kern w:val="1"/>
          <w:sz w:val="24"/>
        </w:rPr>
        <w:t>×</w:t>
      </w:r>
      <w:r>
        <w:rPr>
          <w:rFonts w:hint="eastAsia" w:ascii="宋体" w:hAnsi="宋体"/>
          <w:szCs w:val="21"/>
        </w:rPr>
        <w:t xml:space="preserve">  7、</w:t>
      </w:r>
      <w:r>
        <w:rPr>
          <w:rFonts w:ascii="宋体" w:hAnsi="宋体" w:cs="宋体"/>
          <w:kern w:val="1"/>
          <w:sz w:val="24"/>
        </w:rPr>
        <w:t>×</w:t>
      </w:r>
      <w:r>
        <w:rPr>
          <w:rFonts w:ascii="宋体" w:hAnsi="宋体"/>
          <w:szCs w:val="21"/>
        </w:rPr>
        <w:t xml:space="preserve"> </w:t>
      </w:r>
      <w:r>
        <w:rPr>
          <w:rFonts w:hint="eastAsia" w:ascii="宋体" w:hAnsi="宋体"/>
          <w:szCs w:val="21"/>
        </w:rPr>
        <w:t xml:space="preserve"> </w:t>
      </w:r>
    </w:p>
    <w:p w14:paraId="0BEFB6F0">
      <w:pPr>
        <w:spacing w:line="360" w:lineRule="auto"/>
        <w:rPr>
          <w:rFonts w:hint="eastAsia" w:ascii="宋体" w:hAnsi="宋体"/>
          <w:b/>
          <w:szCs w:val="21"/>
        </w:rPr>
      </w:pPr>
      <w:r>
        <w:rPr>
          <w:rFonts w:hint="eastAsia" w:ascii="宋体" w:hAnsi="宋体"/>
          <w:b/>
          <w:szCs w:val="21"/>
        </w:rPr>
        <w:t>四、</w:t>
      </w:r>
      <w:r>
        <w:rPr>
          <w:rFonts w:hint="eastAsia" w:ascii="宋体" w:hAnsi="宋体"/>
          <w:b/>
          <w:szCs w:val="21"/>
          <w:lang w:val="en-US" w:eastAsia="zh-CN"/>
        </w:rPr>
        <w:t>计算题</w:t>
      </w:r>
    </w:p>
    <w:p w14:paraId="1F48E071">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1、</w:t>
      </w:r>
    </w:p>
    <w:p w14:paraId="5B81389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（1）计算期初库存材料的实际成本=200000—4000=196000</w:t>
      </w:r>
    </w:p>
    <w:p w14:paraId="7ED5AF5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（2）计算本月材料成本差异率=（—4000+12000）÷（200000+600000）×%=1%</w:t>
      </w:r>
    </w:p>
    <w:p w14:paraId="14117B3C">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（3）计算发出材料的实际成本=700000+700000×1%=707000</w:t>
      </w:r>
    </w:p>
    <w:p w14:paraId="2576DB26">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(4）计算期末库存材料的实际成本=101000</w:t>
      </w:r>
    </w:p>
    <w:p w14:paraId="7FDC0220">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w:t>
      </w:r>
    </w:p>
    <w:p w14:paraId="580C9C5F">
      <w:pPr>
        <w:keepNext w:val="0"/>
        <w:keepLines w:val="0"/>
        <w:widowControl w:val="0"/>
        <w:suppressLineNumbers w:val="0"/>
        <w:spacing w:before="0" w:beforeAutospacing="0" w:after="0" w:afterAutospacing="0"/>
        <w:ind w:left="0" w:right="0" w:firstLine="210" w:firstLineChars="1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 2×21年1月计提设备折旧额=（60-5）÷20×0.4=1.1（万元）</w:t>
      </w:r>
    </w:p>
    <w:p w14:paraId="3DD76D6F">
      <w:pPr>
        <w:keepNext w:val="0"/>
        <w:keepLines w:val="0"/>
        <w:widowControl w:val="0"/>
        <w:suppressLineNumbers w:val="0"/>
        <w:spacing w:before="0" w:beforeAutospacing="0" w:after="0" w:afterAutospacing="0"/>
        <w:ind w:left="0" w:right="0" w:firstLine="840" w:firstLineChars="4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2×21年1月计提办公楼折旧额=（620-20）/20/12=2.5（万元）</w:t>
      </w:r>
    </w:p>
    <w:p w14:paraId="7CB3B767">
      <w:pPr>
        <w:keepNext w:val="0"/>
        <w:keepLines w:val="0"/>
        <w:widowControl w:val="0"/>
        <w:suppressLineNumbers w:val="0"/>
        <w:spacing w:before="0" w:beforeAutospacing="0" w:after="0" w:afterAutospacing="0"/>
        <w:ind w:left="0" w:right="0" w:firstLine="840" w:firstLineChars="40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甲公司2×21年1月份应计提的折旧额合计=1.1+2.5=3.6万元</w:t>
      </w:r>
    </w:p>
    <w:p w14:paraId="49DA38D8">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（2）借：制造费用         1.1</w:t>
      </w:r>
    </w:p>
    <w:p w14:paraId="5B3B865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管理费用         2.5</w:t>
      </w:r>
    </w:p>
    <w:p w14:paraId="33865504">
      <w:pPr>
        <w:spacing w:line="360" w:lineRule="auto"/>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 xml:space="preserve">       贷：累计折旧             3.6 </w:t>
      </w:r>
    </w:p>
    <w:p w14:paraId="2E8233DF">
      <w:pPr>
        <w:spacing w:line="360" w:lineRule="auto"/>
        <w:rPr>
          <w:rFonts w:hint="eastAsia" w:ascii="宋体" w:hAnsi="宋体"/>
          <w:b/>
          <w:szCs w:val="21"/>
        </w:rPr>
      </w:pPr>
      <w:r>
        <w:rPr>
          <w:rFonts w:hint="eastAsia" w:ascii="宋体" w:hAnsi="宋体"/>
          <w:b/>
          <w:szCs w:val="21"/>
          <w:lang w:val="en-US" w:eastAsia="zh-CN"/>
        </w:rPr>
        <w:t>五</w:t>
      </w:r>
      <w:r>
        <w:rPr>
          <w:rFonts w:hint="eastAsia" w:ascii="宋体" w:hAnsi="宋体"/>
          <w:b/>
          <w:szCs w:val="21"/>
        </w:rPr>
        <w:t>、</w:t>
      </w:r>
      <w:r>
        <w:rPr>
          <w:rFonts w:hint="eastAsia" w:ascii="宋体" w:hAnsi="宋体"/>
          <w:b/>
          <w:szCs w:val="21"/>
          <w:lang w:val="en-US" w:eastAsia="zh-CN"/>
        </w:rPr>
        <w:t>业务题</w:t>
      </w:r>
    </w:p>
    <w:p w14:paraId="7156DD45">
      <w:pPr>
        <w:spacing w:line="360" w:lineRule="auto"/>
        <w:jc w:val="left"/>
        <w:rPr>
          <w:rFonts w:hint="eastAsia" w:ascii="宋体" w:hAnsi="宋体"/>
          <w:szCs w:val="21"/>
          <w:lang w:val="en-US" w:eastAsia="zh-CN"/>
        </w:rPr>
      </w:pPr>
      <w:r>
        <w:rPr>
          <w:rFonts w:hint="eastAsia" w:ascii="宋体" w:hAnsi="宋体"/>
          <w:szCs w:val="21"/>
          <w:lang w:val="en-US" w:eastAsia="zh-CN"/>
        </w:rPr>
        <w:t>1、</w:t>
      </w:r>
    </w:p>
    <w:p w14:paraId="02E8766A">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（1）该仓库2X21年3月31日的入账价值=20+2+0.39+1+0.13+2+0.92=26.44万元</w:t>
      </w:r>
    </w:p>
    <w:p w14:paraId="50BD366E">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（2）2X21年4-12月该仓库应计提折旧额=（26.44-2）/20/12×9=0.9915万元</w:t>
      </w:r>
    </w:p>
    <w:p w14:paraId="4BFF5615">
      <w:pPr>
        <w:keepNext w:val="0"/>
        <w:keepLines w:val="0"/>
        <w:widowControl w:val="0"/>
        <w:suppressLineNumbers w:val="0"/>
        <w:spacing w:before="0" w:beforeAutospacing="0" w:after="0" w:afterAutospacing="0"/>
        <w:ind w:left="0" w:right="0"/>
        <w:jc w:val="both"/>
        <w:rPr>
          <w:rFonts w:hint="eastAsia" w:ascii="等线" w:hAnsi="等线" w:eastAsia="等线" w:cs="Times New Roman"/>
          <w:color w:val="000000"/>
          <w:kern w:val="2"/>
          <w:sz w:val="21"/>
          <w:szCs w:val="21"/>
          <w:lang w:val="en-US" w:eastAsia="zh-CN" w:bidi="ar"/>
        </w:rPr>
      </w:pPr>
    </w:p>
    <w:p w14:paraId="64EB22ED">
      <w:pPr>
        <w:keepNext w:val="0"/>
        <w:keepLines w:val="0"/>
        <w:widowControl w:val="0"/>
        <w:suppressLineNumbers w:val="0"/>
        <w:spacing w:before="0" w:beforeAutospacing="0" w:after="0" w:afterAutospacing="0"/>
        <w:ind w:left="0" w:right="0"/>
        <w:jc w:val="both"/>
        <w:rPr>
          <w:rFonts w:hint="default" w:ascii="等线" w:hAnsi="等线" w:eastAsia="等线" w:cs="Times New Roman"/>
          <w:color w:val="000000"/>
          <w:kern w:val="2"/>
          <w:sz w:val="21"/>
          <w:szCs w:val="21"/>
          <w:lang w:val="en-US" w:eastAsia="zh-CN" w:bidi="ar"/>
        </w:rPr>
      </w:pPr>
      <w:r>
        <w:rPr>
          <w:rFonts w:hint="eastAsia" w:ascii="等线" w:hAnsi="等线" w:eastAsia="等线" w:cs="Times New Roman"/>
          <w:color w:val="000000"/>
          <w:kern w:val="2"/>
          <w:sz w:val="21"/>
          <w:szCs w:val="21"/>
          <w:lang w:val="en-US" w:eastAsia="zh-CN" w:bidi="ar"/>
        </w:rPr>
        <w:t>（3）略</w:t>
      </w:r>
    </w:p>
    <w:p w14:paraId="67EE7AF3">
      <w:pPr>
        <w:spacing w:line="360" w:lineRule="auto"/>
        <w:jc w:val="left"/>
        <w:rPr>
          <w:rFonts w:hint="eastAsia" w:ascii="宋体" w:hAnsi="宋体"/>
          <w:szCs w:val="21"/>
          <w:lang w:val="en-US" w:eastAsia="zh-CN"/>
        </w:rPr>
      </w:pPr>
    </w:p>
    <w:p w14:paraId="34943780">
      <w:pPr>
        <w:spacing w:line="360" w:lineRule="auto"/>
        <w:jc w:val="left"/>
        <w:rPr>
          <w:rFonts w:hint="eastAsia" w:ascii="宋体" w:hAnsi="宋体"/>
          <w:szCs w:val="21"/>
          <w:lang w:val="en-US" w:eastAsia="zh-CN"/>
        </w:rPr>
      </w:pPr>
    </w:p>
    <w:p w14:paraId="46E24028">
      <w:pPr>
        <w:rPr>
          <w:sz w:val="24"/>
        </w:rPr>
      </w:pPr>
      <w:r>
        <w:rPr>
          <w:rFonts w:hint="eastAsia" w:ascii="宋体" w:hAnsi="宋体"/>
          <w:szCs w:val="21"/>
          <w:lang w:val="en-US" w:eastAsia="zh-CN"/>
        </w:rPr>
        <w:t>2、</w:t>
      </w:r>
      <w:r>
        <w:rPr>
          <w:rFonts w:hint="eastAsia"/>
          <w:sz w:val="24"/>
        </w:rPr>
        <w:t>（1）借：应付职工薪酬  2 000 000</w:t>
      </w:r>
    </w:p>
    <w:p w14:paraId="7DD24E92">
      <w:pPr>
        <w:rPr>
          <w:sz w:val="24"/>
        </w:rPr>
      </w:pPr>
      <w:r>
        <w:rPr>
          <w:rFonts w:hint="eastAsia"/>
          <w:sz w:val="24"/>
        </w:rPr>
        <w:t xml:space="preserve">        贷：银行存款       2 000 000</w:t>
      </w:r>
    </w:p>
    <w:p w14:paraId="08E14128">
      <w:pPr>
        <w:ind w:firstLine="240" w:firstLineChars="100"/>
        <w:rPr>
          <w:sz w:val="24"/>
        </w:rPr>
      </w:pPr>
      <w:r>
        <w:rPr>
          <w:rFonts w:hint="eastAsia"/>
          <w:sz w:val="24"/>
        </w:rPr>
        <w:t>（2）借：生产成本   1 130 00</w:t>
      </w:r>
    </w:p>
    <w:p w14:paraId="7AA3FCCB">
      <w:pPr>
        <w:rPr>
          <w:sz w:val="24"/>
        </w:rPr>
      </w:pPr>
      <w:r>
        <w:rPr>
          <w:rFonts w:hint="eastAsia"/>
          <w:sz w:val="24"/>
        </w:rPr>
        <w:t xml:space="preserve">         管理费用   113 000</w:t>
      </w:r>
    </w:p>
    <w:p w14:paraId="78B78599">
      <w:pPr>
        <w:rPr>
          <w:sz w:val="24"/>
        </w:rPr>
      </w:pPr>
      <w:r>
        <w:rPr>
          <w:rFonts w:hint="eastAsia"/>
          <w:sz w:val="24"/>
        </w:rPr>
        <w:t xml:space="preserve">         贷：应付职工薪酬   1 243 000</w:t>
      </w:r>
    </w:p>
    <w:p w14:paraId="63F7EEE8">
      <w:pPr>
        <w:ind w:firstLine="600" w:firstLineChars="250"/>
        <w:rPr>
          <w:sz w:val="24"/>
        </w:rPr>
      </w:pPr>
      <w:r>
        <w:rPr>
          <w:rFonts w:hint="eastAsia"/>
          <w:sz w:val="24"/>
        </w:rPr>
        <w:t>借：应付职工薪酬    1 243 000</w:t>
      </w:r>
    </w:p>
    <w:p w14:paraId="0C73B15B">
      <w:pPr>
        <w:rPr>
          <w:sz w:val="24"/>
        </w:rPr>
      </w:pPr>
      <w:r>
        <w:rPr>
          <w:rFonts w:hint="eastAsia"/>
          <w:sz w:val="24"/>
        </w:rPr>
        <w:t xml:space="preserve">         贷：主营业务收入      1 100 000</w:t>
      </w:r>
    </w:p>
    <w:p w14:paraId="1EC2C4B4">
      <w:pPr>
        <w:rPr>
          <w:sz w:val="24"/>
        </w:rPr>
      </w:pPr>
      <w:r>
        <w:rPr>
          <w:rFonts w:hint="eastAsia"/>
          <w:sz w:val="24"/>
        </w:rPr>
        <w:t xml:space="preserve">             应交税费—应交增值税（销项税额）  143 000</w:t>
      </w:r>
    </w:p>
    <w:p w14:paraId="6BD15BE4">
      <w:pPr>
        <w:ind w:firstLine="600" w:firstLineChars="250"/>
        <w:rPr>
          <w:sz w:val="24"/>
        </w:rPr>
      </w:pPr>
      <w:r>
        <w:rPr>
          <w:rFonts w:hint="eastAsia"/>
          <w:sz w:val="24"/>
        </w:rPr>
        <w:t>借：主营业务成本      660 000</w:t>
      </w:r>
    </w:p>
    <w:p w14:paraId="710FAC00">
      <w:pPr>
        <w:rPr>
          <w:sz w:val="24"/>
        </w:rPr>
      </w:pPr>
      <w:r>
        <w:rPr>
          <w:rFonts w:hint="eastAsia"/>
          <w:sz w:val="24"/>
        </w:rPr>
        <w:t xml:space="preserve">         贷：库存商品         660 000</w:t>
      </w:r>
    </w:p>
    <w:p w14:paraId="7F39A6D2">
      <w:pPr>
        <w:rPr>
          <w:sz w:val="24"/>
        </w:rPr>
      </w:pPr>
      <w:r>
        <w:rPr>
          <w:rFonts w:hint="eastAsia"/>
          <w:sz w:val="24"/>
        </w:rPr>
        <w:t>（3）借：生产成本        1 200 000</w:t>
      </w:r>
    </w:p>
    <w:p w14:paraId="110ADA45">
      <w:pPr>
        <w:rPr>
          <w:sz w:val="24"/>
        </w:rPr>
      </w:pPr>
      <w:r>
        <w:rPr>
          <w:rFonts w:hint="eastAsia"/>
          <w:sz w:val="24"/>
        </w:rPr>
        <w:t xml:space="preserve">         制造费用          200 000</w:t>
      </w:r>
    </w:p>
    <w:p w14:paraId="61A4E723">
      <w:pPr>
        <w:rPr>
          <w:sz w:val="24"/>
        </w:rPr>
      </w:pPr>
      <w:r>
        <w:rPr>
          <w:rFonts w:hint="eastAsia"/>
          <w:sz w:val="24"/>
        </w:rPr>
        <w:t xml:space="preserve">         管理费用           300 000</w:t>
      </w:r>
    </w:p>
    <w:p w14:paraId="3C9C0338">
      <w:pPr>
        <w:rPr>
          <w:sz w:val="24"/>
        </w:rPr>
      </w:pPr>
      <w:r>
        <w:rPr>
          <w:rFonts w:hint="eastAsia"/>
          <w:sz w:val="24"/>
        </w:rPr>
        <w:t xml:space="preserve">        贷：应付职工薪酬        1 700 000</w:t>
      </w:r>
    </w:p>
    <w:p w14:paraId="57C8E340">
      <w:pPr>
        <w:spacing w:line="360" w:lineRule="auto"/>
        <w:rPr>
          <w:rFonts w:hint="eastAsia" w:ascii="宋体" w:hAnsi="宋体"/>
          <w:szCs w:val="21"/>
          <w:lang w:val="en-US" w:eastAsia="zh-CN"/>
        </w:rPr>
      </w:pPr>
      <w:r>
        <w:rPr>
          <w:rFonts w:hint="eastAsia" w:ascii="宋体" w:hAnsi="宋体"/>
          <w:szCs w:val="21"/>
          <w:lang w:val="en-US" w:eastAsia="zh-CN"/>
        </w:rPr>
        <w:t>3、</w:t>
      </w:r>
    </w:p>
    <w:p w14:paraId="006C0885">
      <w:pPr>
        <w:rPr>
          <w:rFonts w:hint="eastAsia" w:ascii="Times New Roman" w:hAnsi="Times New Roman" w:eastAsia="宋体" w:cs="Times New Roman"/>
          <w:sz w:val="24"/>
        </w:rPr>
      </w:pPr>
      <w:r>
        <w:rPr>
          <w:rFonts w:hint="eastAsia" w:ascii="Times New Roman" w:hAnsi="Times New Roman" w:eastAsia="宋体" w:cs="Times New Roman"/>
          <w:sz w:val="24"/>
        </w:rPr>
        <w:t>（1）被投资公司收到甲投资者的投资时：</w:t>
      </w:r>
    </w:p>
    <w:p w14:paraId="6F28F685">
      <w:pPr>
        <w:rPr>
          <w:rFonts w:hint="eastAsia" w:ascii="Times New Roman" w:hAnsi="Times New Roman" w:eastAsia="宋体" w:cs="Times New Roman"/>
          <w:sz w:val="24"/>
        </w:rPr>
      </w:pPr>
      <w:r>
        <w:rPr>
          <w:rFonts w:hint="eastAsia" w:ascii="Times New Roman" w:hAnsi="Times New Roman" w:eastAsia="宋体" w:cs="Times New Roman"/>
          <w:sz w:val="24"/>
        </w:rPr>
        <w:t>借：库存商品　　　　　　　　　　　　　　    180</w:t>
      </w:r>
    </w:p>
    <w:p w14:paraId="74491749">
      <w:pPr>
        <w:rPr>
          <w:rFonts w:hint="eastAsia" w:ascii="Times New Roman" w:hAnsi="Times New Roman" w:eastAsia="宋体" w:cs="Times New Roman"/>
          <w:sz w:val="24"/>
        </w:rPr>
      </w:pPr>
      <w:r>
        <w:rPr>
          <w:rFonts w:hint="eastAsia" w:ascii="Times New Roman" w:hAnsi="Times New Roman" w:eastAsia="宋体" w:cs="Times New Roman"/>
          <w:sz w:val="24"/>
        </w:rPr>
        <w:t xml:space="preserve">    应交税费——应交增值税（进项税额）       30.6</w:t>
      </w:r>
    </w:p>
    <w:p w14:paraId="52B267A7">
      <w:pPr>
        <w:rPr>
          <w:rFonts w:hint="eastAsia" w:ascii="Times New Roman" w:hAnsi="Times New Roman" w:eastAsia="宋体" w:cs="Times New Roman"/>
          <w:sz w:val="24"/>
        </w:rPr>
      </w:pPr>
      <w:r>
        <w:rPr>
          <w:rFonts w:hint="eastAsia" w:ascii="Times New Roman" w:hAnsi="Times New Roman" w:eastAsia="宋体" w:cs="Times New Roman"/>
          <w:sz w:val="24"/>
        </w:rPr>
        <w:t xml:space="preserve">  贷：实收资本——甲　　　　　　　　　　　     210.6</w:t>
      </w:r>
    </w:p>
    <w:p w14:paraId="3634E7C4">
      <w:pPr>
        <w:rPr>
          <w:rFonts w:hint="eastAsia" w:ascii="Times New Roman" w:hAnsi="Times New Roman" w:eastAsia="宋体" w:cs="Times New Roman"/>
          <w:sz w:val="24"/>
        </w:rPr>
      </w:pPr>
      <w:r>
        <w:rPr>
          <w:rFonts w:hint="eastAsia" w:ascii="Times New Roman" w:hAnsi="Times New Roman" w:eastAsia="宋体" w:cs="Times New Roman"/>
          <w:sz w:val="24"/>
        </w:rPr>
        <w:t>（2）被投资公司收到投资者乙的投资时：</w:t>
      </w:r>
    </w:p>
    <w:p w14:paraId="1E6FC920">
      <w:pPr>
        <w:rPr>
          <w:rFonts w:hint="eastAsia" w:ascii="Times New Roman" w:hAnsi="Times New Roman" w:eastAsia="宋体" w:cs="Times New Roman"/>
          <w:sz w:val="24"/>
        </w:rPr>
      </w:pPr>
      <w:r>
        <w:rPr>
          <w:rFonts w:hint="eastAsia" w:ascii="Times New Roman" w:hAnsi="Times New Roman" w:eastAsia="宋体" w:cs="Times New Roman"/>
          <w:sz w:val="24"/>
        </w:rPr>
        <w:t>①借：银行存款　               9</w:t>
      </w:r>
    </w:p>
    <w:p w14:paraId="1E81BD9A">
      <w:pPr>
        <w:rPr>
          <w:rFonts w:hint="eastAsia" w:ascii="Times New Roman" w:hAnsi="Times New Roman" w:eastAsia="宋体" w:cs="Times New Roman"/>
          <w:sz w:val="24"/>
        </w:rPr>
      </w:pPr>
      <w:r>
        <w:rPr>
          <w:rFonts w:hint="eastAsia" w:ascii="Times New Roman" w:hAnsi="Times New Roman" w:eastAsia="宋体" w:cs="Times New Roman"/>
          <w:sz w:val="24"/>
        </w:rPr>
        <w:t xml:space="preserve">      无形资产                80</w:t>
      </w:r>
    </w:p>
    <w:p w14:paraId="377B9657">
      <w:pPr>
        <w:rPr>
          <w:rFonts w:hint="eastAsia" w:ascii="Times New Roman" w:hAnsi="Times New Roman" w:eastAsia="宋体" w:cs="Times New Roman"/>
          <w:sz w:val="24"/>
        </w:rPr>
      </w:pPr>
      <w:r>
        <w:rPr>
          <w:rFonts w:hint="eastAsia" w:ascii="Times New Roman" w:hAnsi="Times New Roman" w:eastAsia="宋体" w:cs="Times New Roman"/>
          <w:sz w:val="24"/>
        </w:rPr>
        <w:t xml:space="preserve">    贷：实收资本——乙　　      89</w:t>
      </w:r>
    </w:p>
    <w:p w14:paraId="36838E40">
      <w:pPr>
        <w:rPr>
          <w:rFonts w:hint="eastAsia" w:ascii="Times New Roman" w:hAnsi="Times New Roman" w:eastAsia="宋体" w:cs="Times New Roman"/>
          <w:sz w:val="24"/>
        </w:rPr>
      </w:pPr>
      <w:r>
        <w:rPr>
          <w:rFonts w:hint="eastAsia" w:ascii="Times New Roman" w:hAnsi="Times New Roman" w:eastAsia="宋体" w:cs="Times New Roman"/>
          <w:sz w:val="24"/>
        </w:rPr>
        <w:t>（3）被投资公司收到投资者丙的投资时：</w:t>
      </w:r>
    </w:p>
    <w:p w14:paraId="1618F187">
      <w:pPr>
        <w:rPr>
          <w:rFonts w:hint="eastAsia" w:ascii="Times New Roman" w:hAnsi="Times New Roman" w:eastAsia="宋体" w:cs="Times New Roman"/>
          <w:sz w:val="24"/>
        </w:rPr>
      </w:pPr>
      <w:r>
        <w:rPr>
          <w:rFonts w:hint="eastAsia" w:ascii="Times New Roman" w:hAnsi="Times New Roman" w:eastAsia="宋体" w:cs="Times New Roman"/>
          <w:sz w:val="24"/>
        </w:rPr>
        <w:t xml:space="preserve">    借：银行存款　　　　　        176</w:t>
      </w:r>
    </w:p>
    <w:p w14:paraId="26514F80">
      <w:pPr>
        <w:rPr>
          <w:rFonts w:hint="eastAsia" w:ascii="Times New Roman" w:hAnsi="Times New Roman" w:eastAsia="宋体" w:cs="Times New Roman"/>
          <w:sz w:val="24"/>
        </w:rPr>
      </w:pPr>
      <w:r>
        <w:rPr>
          <w:rFonts w:hint="eastAsia" w:ascii="Times New Roman" w:hAnsi="Times New Roman" w:eastAsia="宋体" w:cs="Times New Roman"/>
          <w:sz w:val="24"/>
        </w:rPr>
        <w:t xml:space="preserve">      贷：实收资本——丙　　　　　   130</w:t>
      </w:r>
    </w:p>
    <w:p w14:paraId="1E40D8F1">
      <w:pPr>
        <w:rPr>
          <w:rFonts w:hint="eastAsia" w:ascii="Times New Roman" w:hAnsi="Times New Roman" w:eastAsia="宋体" w:cs="Times New Roman"/>
          <w:sz w:val="24"/>
        </w:rPr>
      </w:pPr>
      <w:r>
        <w:rPr>
          <w:rFonts w:hint="eastAsia" w:ascii="Times New Roman" w:hAnsi="Times New Roman" w:eastAsia="宋体" w:cs="Times New Roman"/>
          <w:sz w:val="24"/>
        </w:rPr>
        <w:t xml:space="preserve">          资本公积——资本溢价　　    46</w:t>
      </w:r>
    </w:p>
    <w:p w14:paraId="7B8E7B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3814D"/>
    <w:multiLevelType w:val="singleLevel"/>
    <w:tmpl w:val="8923814D"/>
    <w:lvl w:ilvl="0" w:tentative="0">
      <w:start w:val="1"/>
      <w:numFmt w:val="upperLetter"/>
      <w:suff w:val="space"/>
      <w:lvlText w:val="%1."/>
      <w:lvlJc w:val="left"/>
      <w:pPr>
        <w:ind w:left="420"/>
      </w:pPr>
    </w:lvl>
  </w:abstractNum>
  <w:abstractNum w:abstractNumId="1">
    <w:nsid w:val="8E1F5F54"/>
    <w:multiLevelType w:val="singleLevel"/>
    <w:tmpl w:val="8E1F5F54"/>
    <w:lvl w:ilvl="0" w:tentative="0">
      <w:start w:val="1"/>
      <w:numFmt w:val="upperLetter"/>
      <w:suff w:val="space"/>
      <w:lvlText w:val="%1."/>
      <w:lvlJc w:val="left"/>
    </w:lvl>
  </w:abstractNum>
  <w:abstractNum w:abstractNumId="2">
    <w:nsid w:val="923FB9F1"/>
    <w:multiLevelType w:val="singleLevel"/>
    <w:tmpl w:val="923FB9F1"/>
    <w:lvl w:ilvl="0" w:tentative="0">
      <w:start w:val="1"/>
      <w:numFmt w:val="upperLetter"/>
      <w:suff w:val="space"/>
      <w:lvlText w:val="%1."/>
      <w:lvlJc w:val="left"/>
      <w:pPr>
        <w:ind w:left="420"/>
      </w:pPr>
    </w:lvl>
  </w:abstractNum>
  <w:abstractNum w:abstractNumId="3">
    <w:nsid w:val="92459B03"/>
    <w:multiLevelType w:val="singleLevel"/>
    <w:tmpl w:val="92459B03"/>
    <w:lvl w:ilvl="0" w:tentative="0">
      <w:start w:val="1"/>
      <w:numFmt w:val="upperLetter"/>
      <w:suff w:val="space"/>
      <w:lvlText w:val="%1."/>
      <w:lvlJc w:val="left"/>
      <w:pPr>
        <w:ind w:left="420"/>
      </w:pPr>
    </w:lvl>
  </w:abstractNum>
  <w:abstractNum w:abstractNumId="4">
    <w:nsid w:val="9A64E1F1"/>
    <w:multiLevelType w:val="singleLevel"/>
    <w:tmpl w:val="9A64E1F1"/>
    <w:lvl w:ilvl="0" w:tentative="0">
      <w:start w:val="1"/>
      <w:numFmt w:val="upperLetter"/>
      <w:suff w:val="space"/>
      <w:lvlText w:val="%1."/>
      <w:lvlJc w:val="left"/>
    </w:lvl>
  </w:abstractNum>
  <w:abstractNum w:abstractNumId="5">
    <w:nsid w:val="A53CA37D"/>
    <w:multiLevelType w:val="singleLevel"/>
    <w:tmpl w:val="A53CA37D"/>
    <w:lvl w:ilvl="0" w:tentative="0">
      <w:start w:val="4"/>
      <w:numFmt w:val="chineseCounting"/>
      <w:suff w:val="nothing"/>
      <w:lvlText w:val="%1、"/>
      <w:lvlJc w:val="left"/>
      <w:rPr>
        <w:rFonts w:hint="eastAsia"/>
      </w:rPr>
    </w:lvl>
  </w:abstractNum>
  <w:abstractNum w:abstractNumId="6">
    <w:nsid w:val="BE239C60"/>
    <w:multiLevelType w:val="singleLevel"/>
    <w:tmpl w:val="BE239C60"/>
    <w:lvl w:ilvl="0" w:tentative="0">
      <w:start w:val="1"/>
      <w:numFmt w:val="upperLetter"/>
      <w:suff w:val="space"/>
      <w:lvlText w:val="%1."/>
      <w:lvlJc w:val="left"/>
      <w:pPr>
        <w:ind w:left="420"/>
      </w:pPr>
    </w:lvl>
  </w:abstractNum>
  <w:abstractNum w:abstractNumId="7">
    <w:nsid w:val="F3C4B4CD"/>
    <w:multiLevelType w:val="singleLevel"/>
    <w:tmpl w:val="F3C4B4CD"/>
    <w:lvl w:ilvl="0" w:tentative="0">
      <w:start w:val="1"/>
      <w:numFmt w:val="decimal"/>
      <w:lvlText w:val="%1."/>
      <w:lvlJc w:val="left"/>
      <w:pPr>
        <w:tabs>
          <w:tab w:val="left" w:pos="312"/>
        </w:tabs>
      </w:pPr>
    </w:lvl>
  </w:abstractNum>
  <w:abstractNum w:abstractNumId="8">
    <w:nsid w:val="FAA0E5AD"/>
    <w:multiLevelType w:val="singleLevel"/>
    <w:tmpl w:val="FAA0E5AD"/>
    <w:lvl w:ilvl="0" w:tentative="0">
      <w:start w:val="1"/>
      <w:numFmt w:val="upperLetter"/>
      <w:lvlText w:val="%1."/>
      <w:lvlJc w:val="left"/>
      <w:pPr>
        <w:tabs>
          <w:tab w:val="left" w:pos="312"/>
        </w:tabs>
      </w:pPr>
    </w:lvl>
  </w:abstractNum>
  <w:abstractNum w:abstractNumId="9">
    <w:nsid w:val="FDCE9288"/>
    <w:multiLevelType w:val="singleLevel"/>
    <w:tmpl w:val="FDCE9288"/>
    <w:lvl w:ilvl="0" w:tentative="0">
      <w:start w:val="2"/>
      <w:numFmt w:val="upperLetter"/>
      <w:suff w:val="space"/>
      <w:lvlText w:val="%1."/>
      <w:lvlJc w:val="left"/>
    </w:lvl>
  </w:abstractNum>
  <w:abstractNum w:abstractNumId="10">
    <w:nsid w:val="FE1E9CBC"/>
    <w:multiLevelType w:val="singleLevel"/>
    <w:tmpl w:val="FE1E9CBC"/>
    <w:lvl w:ilvl="0" w:tentative="0">
      <w:start w:val="1"/>
      <w:numFmt w:val="upperLetter"/>
      <w:lvlText w:val="%1."/>
      <w:lvlJc w:val="left"/>
      <w:pPr>
        <w:tabs>
          <w:tab w:val="left" w:pos="312"/>
        </w:tabs>
      </w:pPr>
    </w:lvl>
  </w:abstractNum>
  <w:abstractNum w:abstractNumId="11">
    <w:nsid w:val="08FB7E44"/>
    <w:multiLevelType w:val="singleLevel"/>
    <w:tmpl w:val="08FB7E44"/>
    <w:lvl w:ilvl="0" w:tentative="0">
      <w:start w:val="7"/>
      <w:numFmt w:val="decimal"/>
      <w:lvlText w:val="%1."/>
      <w:lvlJc w:val="left"/>
      <w:pPr>
        <w:tabs>
          <w:tab w:val="left" w:pos="312"/>
        </w:tabs>
      </w:pPr>
    </w:lvl>
  </w:abstractNum>
  <w:abstractNum w:abstractNumId="12">
    <w:nsid w:val="0A16157F"/>
    <w:multiLevelType w:val="singleLevel"/>
    <w:tmpl w:val="0A16157F"/>
    <w:lvl w:ilvl="0" w:tentative="0">
      <w:start w:val="1"/>
      <w:numFmt w:val="upperLetter"/>
      <w:suff w:val="space"/>
      <w:lvlText w:val="%1."/>
      <w:lvlJc w:val="left"/>
    </w:lvl>
  </w:abstractNum>
  <w:abstractNum w:abstractNumId="13">
    <w:nsid w:val="0E69A387"/>
    <w:multiLevelType w:val="singleLevel"/>
    <w:tmpl w:val="0E69A387"/>
    <w:lvl w:ilvl="0" w:tentative="0">
      <w:start w:val="1"/>
      <w:numFmt w:val="upperLetter"/>
      <w:suff w:val="space"/>
      <w:lvlText w:val="%1."/>
      <w:lvlJc w:val="left"/>
    </w:lvl>
  </w:abstractNum>
  <w:abstractNum w:abstractNumId="14">
    <w:nsid w:val="20689AE8"/>
    <w:multiLevelType w:val="singleLevel"/>
    <w:tmpl w:val="20689AE8"/>
    <w:lvl w:ilvl="0" w:tentative="0">
      <w:start w:val="11"/>
      <w:numFmt w:val="decimal"/>
      <w:lvlText w:val="%1."/>
      <w:lvlJc w:val="left"/>
      <w:pPr>
        <w:tabs>
          <w:tab w:val="left" w:pos="312"/>
        </w:tabs>
      </w:pPr>
    </w:lvl>
  </w:abstractNum>
  <w:abstractNum w:abstractNumId="15">
    <w:nsid w:val="372A3A25"/>
    <w:multiLevelType w:val="singleLevel"/>
    <w:tmpl w:val="372A3A25"/>
    <w:lvl w:ilvl="0" w:tentative="0">
      <w:start w:val="1"/>
      <w:numFmt w:val="upperLetter"/>
      <w:suff w:val="space"/>
      <w:lvlText w:val="%1."/>
      <w:lvlJc w:val="left"/>
    </w:lvl>
  </w:abstractNum>
  <w:abstractNum w:abstractNumId="16">
    <w:nsid w:val="3E0E0918"/>
    <w:multiLevelType w:val="singleLevel"/>
    <w:tmpl w:val="3E0E0918"/>
    <w:lvl w:ilvl="0" w:tentative="0">
      <w:start w:val="1"/>
      <w:numFmt w:val="upperLetter"/>
      <w:suff w:val="space"/>
      <w:lvlText w:val="%1."/>
      <w:lvlJc w:val="left"/>
    </w:lvl>
  </w:abstractNum>
  <w:abstractNum w:abstractNumId="17">
    <w:nsid w:val="402609ED"/>
    <w:multiLevelType w:val="singleLevel"/>
    <w:tmpl w:val="402609ED"/>
    <w:lvl w:ilvl="0" w:tentative="0">
      <w:start w:val="4"/>
      <w:numFmt w:val="decimal"/>
      <w:lvlText w:val="%1."/>
      <w:lvlJc w:val="left"/>
      <w:pPr>
        <w:tabs>
          <w:tab w:val="left" w:pos="312"/>
        </w:tabs>
      </w:pPr>
    </w:lvl>
  </w:abstractNum>
  <w:abstractNum w:abstractNumId="18">
    <w:nsid w:val="498CA2B0"/>
    <w:multiLevelType w:val="singleLevel"/>
    <w:tmpl w:val="498CA2B0"/>
    <w:lvl w:ilvl="0" w:tentative="0">
      <w:start w:val="1"/>
      <w:numFmt w:val="chineseCounting"/>
      <w:suff w:val="nothing"/>
      <w:lvlText w:val="%1、"/>
      <w:lvlJc w:val="left"/>
      <w:rPr>
        <w:rFonts w:hint="eastAsia"/>
      </w:rPr>
    </w:lvl>
  </w:abstractNum>
  <w:abstractNum w:abstractNumId="19">
    <w:nsid w:val="7523471B"/>
    <w:multiLevelType w:val="singleLevel"/>
    <w:tmpl w:val="7523471B"/>
    <w:lvl w:ilvl="0" w:tentative="0">
      <w:start w:val="1"/>
      <w:numFmt w:val="upperLetter"/>
      <w:suff w:val="space"/>
      <w:lvlText w:val="%1."/>
      <w:lvlJc w:val="left"/>
    </w:lvl>
  </w:abstractNum>
  <w:num w:numId="1">
    <w:abstractNumId w:val="18"/>
  </w:num>
  <w:num w:numId="2">
    <w:abstractNumId w:val="7"/>
  </w:num>
  <w:num w:numId="3">
    <w:abstractNumId w:val="9"/>
  </w:num>
  <w:num w:numId="4">
    <w:abstractNumId w:val="17"/>
  </w:num>
  <w:num w:numId="5">
    <w:abstractNumId w:val="16"/>
  </w:num>
  <w:num w:numId="6">
    <w:abstractNumId w:val="11"/>
  </w:num>
  <w:num w:numId="7">
    <w:abstractNumId w:val="13"/>
  </w:num>
  <w:num w:numId="8">
    <w:abstractNumId w:val="14"/>
  </w:num>
  <w:num w:numId="9">
    <w:abstractNumId w:val="12"/>
  </w:num>
  <w:num w:numId="10">
    <w:abstractNumId w:val="3"/>
  </w:num>
  <w:num w:numId="11">
    <w:abstractNumId w:val="8"/>
  </w:num>
  <w:num w:numId="12">
    <w:abstractNumId w:val="10"/>
  </w:num>
  <w:num w:numId="13">
    <w:abstractNumId w:val="2"/>
  </w:num>
  <w:num w:numId="14">
    <w:abstractNumId w:val="1"/>
  </w:num>
  <w:num w:numId="15">
    <w:abstractNumId w:val="19"/>
  </w:num>
  <w:num w:numId="16">
    <w:abstractNumId w:val="15"/>
  </w:num>
  <w:num w:numId="17">
    <w:abstractNumId w:val="0"/>
  </w:num>
  <w:num w:numId="18">
    <w:abstractNumId w:val="4"/>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23D4E"/>
    <w:rsid w:val="0C7C593C"/>
    <w:rsid w:val="16DF20E2"/>
    <w:rsid w:val="2B1C6CE5"/>
    <w:rsid w:val="2D127B5A"/>
    <w:rsid w:val="58D736C0"/>
    <w:rsid w:val="7CD43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5247</Words>
  <Characters>5980</Characters>
  <Lines>0</Lines>
  <Paragraphs>0</Paragraphs>
  <TotalTime>0</TotalTime>
  <ScaleCrop>false</ScaleCrop>
  <LinksUpToDate>false</LinksUpToDate>
  <CharactersWithSpaces>7158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2026-06-02T01:26:00Z</dcterms:created>
  <dc:creator>Administrator</dc:creator>
  <cp:lastModifiedBy>育华教育叶燮燮</cp:lastModifiedBy>
  <dcterms:modified xsi:type="dcterms:W3CDTF">2026-06-03T09:11:55Z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eyJoZGlkIjoiZDAxOGQyZjRjY2ZhMTJlYmYwN2M1MmQ4MjlmMDk1OTYiLCJ1c2VySWQiOiIzNjI0MjU4ODQifQ==</vt:lpwstr>
  </property>
  <property fmtid="{D5CDD505-2E9C-101B-9397-08002B2CF9AE}" pid="4" name="ICV">
    <vt:lpwstr>495D9AF00B4B4686BEDA8FB2726C0B9C_12</vt:lpwstr>
  </property>
</Properties>
</file>