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210"/>
        <w:jc w:val="left"/>
        <w:rPr>
          <w:rFonts w:hint="eastAsia"/>
          <w:sz w:val="24"/>
          <w:u w:val="single"/>
          <w:lang w:val="en-US" w:eastAsia="zh-CN"/>
        </w:rPr>
      </w:pPr>
      <w:r>
        <w:rPr>
          <w:rFonts w:hint="eastAsia"/>
          <w:sz w:val="24"/>
          <w:u w:val="single"/>
        </w:rPr>
        <w:t>人力资源开发与培训</w:t>
      </w:r>
      <w:r>
        <w:rPr>
          <w:rFonts w:hint="eastAsia"/>
          <w:sz w:val="24"/>
          <w:u w:val="single"/>
          <w:lang w:val="en-US" w:eastAsia="zh-CN"/>
        </w:rPr>
        <w:t>复习资料</w:t>
      </w:r>
    </w:p>
    <w:p>
      <w:pPr>
        <w:numPr>
          <w:ilvl w:val="0"/>
          <w:numId w:val="1"/>
        </w:numPr>
        <w:ind w:right="210"/>
        <w:jc w:val="left"/>
        <w:rPr>
          <w:rFonts w:hint="eastAsia"/>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单选题</w:t>
      </w:r>
    </w:p>
    <w:p>
      <w:pPr>
        <w:numPr>
          <w:numId w:val="0"/>
        </w:numPr>
        <w:ind w:right="210" w:rightChars="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培训与开发的差别体现于（    ）。</w:t>
      </w:r>
    </w:p>
    <w:p>
      <w:pPr>
        <w:ind w:right="21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A. 培训比开发更加注重长期</w:t>
      </w:r>
    </w:p>
    <w:p>
      <w:pPr>
        <w:ind w:right="21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B. 开发比培训更加注重长期</w:t>
      </w:r>
    </w:p>
    <w:p>
      <w:pPr>
        <w:ind w:right="21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C. 培训只涉及技能，而开发涉及其他任何方面</w:t>
      </w:r>
    </w:p>
    <w:p>
      <w:pPr>
        <w:ind w:right="21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D. 开发主要关注高层管理人员</w:t>
      </w:r>
    </w:p>
    <w:p>
      <w:pPr>
        <w:ind w:right="210"/>
        <w:jc w:val="left"/>
      </w:pPr>
      <w:r>
        <w:rPr>
          <w:rFonts w:hint="eastAsia"/>
        </w:rPr>
        <w:t>2.</w:t>
      </w:r>
      <w:r>
        <w:t xml:space="preserve"> </w:t>
      </w:r>
      <w:r>
        <w:rPr>
          <w:rFonts w:hint="eastAsia"/>
        </w:rPr>
        <w:t>在职业发展管理的过程中，需要为员工确立目标，其中五年以上的目标可称之为（</w:t>
      </w:r>
      <w:r>
        <w:t xml:space="preserve">    </w:t>
      </w:r>
      <w:r>
        <w:rPr>
          <w:rFonts w:hint="eastAsia"/>
        </w:rPr>
        <w:t>）。</w:t>
      </w:r>
    </w:p>
    <w:p>
      <w:pPr>
        <w:ind w:right="210"/>
        <w:jc w:val="left"/>
      </w:pPr>
      <w:r>
        <w:rPr>
          <w:rFonts w:hint="eastAsia"/>
        </w:rPr>
        <w:t xml:space="preserve">A. 阶段目标   </w:t>
      </w:r>
      <w:r>
        <w:t xml:space="preserve">                      </w:t>
      </w:r>
      <w:r>
        <w:rPr>
          <w:rFonts w:hint="eastAsia"/>
          <w:lang w:val="en-US" w:eastAsia="zh-CN"/>
        </w:rPr>
        <w:t xml:space="preserve"> </w:t>
      </w:r>
      <w:r>
        <w:rPr>
          <w:rFonts w:hint="eastAsia"/>
        </w:rPr>
        <w:t>B. 总目标</w:t>
      </w:r>
    </w:p>
    <w:p>
      <w:pPr>
        <w:ind w:right="210"/>
        <w:jc w:val="left"/>
      </w:pPr>
      <w:r>
        <w:rPr>
          <w:rFonts w:hint="eastAsia"/>
        </w:rPr>
        <w:t xml:space="preserve">C. 长期目标   </w:t>
      </w:r>
      <w:r>
        <w:t xml:space="preserve">                       </w:t>
      </w:r>
      <w:r>
        <w:rPr>
          <w:rFonts w:hint="eastAsia"/>
        </w:rPr>
        <w:t>D. 规划目标</w:t>
      </w:r>
    </w:p>
    <w:p>
      <w:pPr>
        <w:ind w:right="210"/>
        <w:jc w:val="left"/>
      </w:pPr>
      <w:r>
        <w:rPr>
          <w:rFonts w:hint="eastAsia"/>
        </w:rPr>
        <w:t>3.</w:t>
      </w:r>
      <w:r>
        <w:t xml:space="preserve"> </w:t>
      </w:r>
      <w:r>
        <w:rPr>
          <w:rFonts w:hint="eastAsia"/>
        </w:rPr>
        <w:t xml:space="preserve">以下哪项不是马斯洛需要的五个基本层次？（ </w:t>
      </w:r>
      <w:r>
        <w:t xml:space="preserve">   </w:t>
      </w:r>
      <w:r>
        <w:rPr>
          <w:rFonts w:hint="eastAsia"/>
        </w:rPr>
        <w:t>）</w:t>
      </w:r>
    </w:p>
    <w:p>
      <w:pPr>
        <w:ind w:right="210"/>
        <w:jc w:val="left"/>
      </w:pPr>
      <w:r>
        <w:rPr>
          <w:rFonts w:hint="eastAsia"/>
        </w:rPr>
        <w:t xml:space="preserve">A. 自我实现需要   </w:t>
      </w:r>
      <w:r>
        <w:t xml:space="preserve">                   </w:t>
      </w:r>
      <w:r>
        <w:rPr>
          <w:rFonts w:hint="eastAsia"/>
        </w:rPr>
        <w:t>B. 安全需要</w:t>
      </w:r>
    </w:p>
    <w:p>
      <w:pPr>
        <w:ind w:right="210"/>
        <w:jc w:val="left"/>
      </w:pPr>
      <w:r>
        <w:rPr>
          <w:rFonts w:hint="eastAsia"/>
        </w:rPr>
        <w:t xml:space="preserve">C. 生理需要 </w:t>
      </w:r>
      <w:r>
        <w:t xml:space="preserve">                         </w:t>
      </w:r>
      <w:r>
        <w:rPr>
          <w:rFonts w:hint="eastAsia"/>
        </w:rPr>
        <w:t>D. 权力需要</w:t>
      </w:r>
    </w:p>
    <w:p>
      <w:pPr>
        <w:ind w:right="21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）基于多家企业的个案研究，提出了战略性员工培训模型（strategic training of employees model，STEM）。</w:t>
      </w:r>
    </w:p>
    <w:p>
      <w:pPr>
        <w:ind w:right="21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A. 丹尼尔•温特兰德                   B. 沃纳菲尔特</w:t>
      </w:r>
    </w:p>
    <w:p>
      <w:pPr>
        <w:ind w:right="21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C.大为•柯林斯                        D. 费雷德里克•泰勒</w:t>
      </w:r>
    </w:p>
    <w:p>
      <w:pPr>
        <w:ind w:right="210"/>
        <w:jc w:val="left"/>
      </w:pPr>
      <w:r>
        <w:rPr>
          <w:rFonts w:hint="eastAsia"/>
        </w:rPr>
        <w:t>5.</w:t>
      </w:r>
      <w:r>
        <w:t xml:space="preserve"> </w:t>
      </w:r>
      <w:r>
        <w:rPr>
          <w:rFonts w:hint="eastAsia"/>
        </w:rPr>
        <w:t>在用Brogden-Cronbach-Gleser模型评估培训效果时，必须考虑到S</w:t>
      </w:r>
      <w:r>
        <w:rPr>
          <w:rFonts w:hint="eastAsia"/>
          <w:vertAlign w:val="subscript"/>
        </w:rPr>
        <w:t>dy</w:t>
      </w:r>
      <w:r>
        <w:rPr>
          <w:rFonts w:hint="eastAsia"/>
        </w:rPr>
        <w:t>，即用货币表示的以前培训过的员工的绩效的标准差，但实际操作中，当时间和资源不允许相近估算S</w:t>
      </w:r>
      <w:r>
        <w:rPr>
          <w:rFonts w:hint="eastAsia"/>
          <w:vertAlign w:val="subscript"/>
        </w:rPr>
        <w:t>dy</w:t>
      </w:r>
      <w:r>
        <w:rPr>
          <w:rFonts w:hint="eastAsia"/>
        </w:rPr>
        <w:t>时，施密特和亨特建议使用平均工资的（</w:t>
      </w:r>
      <w:r>
        <w:t xml:space="preserve">    </w:t>
      </w:r>
      <w:r>
        <w:rPr>
          <w:rFonts w:hint="eastAsia"/>
        </w:rPr>
        <w:t>）作为其估值。</w:t>
      </w:r>
    </w:p>
    <w:p>
      <w:pPr>
        <w:ind w:right="210"/>
        <w:jc w:val="left"/>
      </w:pPr>
      <w:r>
        <w:t>A. 10%                               B. 25%</w:t>
      </w:r>
    </w:p>
    <w:p>
      <w:pPr>
        <w:ind w:right="210"/>
        <w:jc w:val="left"/>
      </w:pPr>
      <w:r>
        <w:t>C. 40%                               D. 50%</w:t>
      </w:r>
    </w:p>
    <w:p>
      <w:pPr>
        <w:ind w:right="21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6.</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对现代培训师的终极要求包括（</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w:t>
      </w:r>
    </w:p>
    <w:p>
      <w:pPr>
        <w:ind w:right="21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①全方位 ②全身心 ③全武艺 ④全天候</w:t>
      </w:r>
    </w:p>
    <w:p>
      <w:pPr>
        <w:ind w:right="21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A. ①②                              B. ②③</w:t>
      </w:r>
    </w:p>
    <w:p>
      <w:pPr>
        <w:ind w:right="21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C. ②③④                            D. ①②③④</w:t>
      </w:r>
    </w:p>
    <w:p>
      <w:pPr>
        <w:ind w:right="21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7.</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如果一个培训项目既需要培训师向所有学员单向讲授，也需要全组共同讨论，那么最好的培训室座位安排方式是？（</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w:t>
      </w:r>
    </w:p>
    <w:p>
      <w:pPr>
        <w:ind w:right="21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A</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扇形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B</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传统教室</w:t>
      </w:r>
    </w:p>
    <w:p>
      <w:pPr>
        <w:ind w:right="21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C</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会议型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D</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流水线</w:t>
      </w:r>
    </w:p>
    <w:p>
      <w:pPr>
        <w:ind w:right="21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8.</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在期望理论中，（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）表示员工绩效与组织奖励的关系。</w:t>
      </w:r>
    </w:p>
    <w:p>
      <w:pPr>
        <w:ind w:right="21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A</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实现手段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B</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效价</w:t>
      </w:r>
    </w:p>
    <w:p>
      <w:pPr>
        <w:ind w:right="21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C</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行为预期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D</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公正性</w:t>
      </w:r>
    </w:p>
    <w:p>
      <w:pPr>
        <w:ind w:right="210"/>
        <w:jc w:val="left"/>
      </w:pPr>
      <w:r>
        <w:rPr>
          <w:rFonts w:hint="eastAsia"/>
        </w:rPr>
        <w:t>9.</w:t>
      </w:r>
      <w:r>
        <w:t xml:space="preserve"> </w:t>
      </w:r>
      <w:r>
        <w:rPr>
          <w:rFonts w:hint="eastAsia"/>
        </w:rPr>
        <w:t>在构建e-</w:t>
      </w:r>
      <w:r>
        <w:t>L</w:t>
      </w:r>
      <w:r>
        <w:rPr>
          <w:rFonts w:hint="eastAsia"/>
        </w:rPr>
        <w:t>earning环境时，我们要注意任务情景的呈现方式，任务情景有两种呈现方式，即BIG方式和WIG方式，其中（</w:t>
      </w:r>
      <w:r>
        <w:t xml:space="preserve">    </w:t>
      </w:r>
      <w:r>
        <w:rPr>
          <w:rFonts w:hint="eastAsia"/>
        </w:rPr>
        <w:t>）学习观倾向于使用WIG学习方式。</w:t>
      </w:r>
    </w:p>
    <w:p>
      <w:pPr>
        <w:ind w:right="210"/>
        <w:jc w:val="left"/>
      </w:pPr>
      <w:r>
        <w:rPr>
          <w:rFonts w:hint="eastAsia"/>
        </w:rPr>
        <w:t xml:space="preserve">A. 行为主义   </w:t>
      </w:r>
      <w:r>
        <w:t xml:space="preserve">                       </w:t>
      </w:r>
      <w:r>
        <w:rPr>
          <w:rFonts w:hint="eastAsia"/>
        </w:rPr>
        <w:t>B. 认知主义</w:t>
      </w:r>
    </w:p>
    <w:p>
      <w:pPr>
        <w:ind w:right="210"/>
        <w:jc w:val="left"/>
      </w:pPr>
      <w:r>
        <w:rPr>
          <w:rFonts w:hint="eastAsia"/>
        </w:rPr>
        <w:t>C.</w:t>
      </w:r>
      <w:r>
        <w:t xml:space="preserve"> </w:t>
      </w:r>
      <w:r>
        <w:rPr>
          <w:rFonts w:hint="eastAsia"/>
        </w:rPr>
        <w:t xml:space="preserve">建构主义  </w:t>
      </w:r>
      <w:r>
        <w:t xml:space="preserve">                        </w:t>
      </w:r>
      <w:r>
        <w:rPr>
          <w:rFonts w:hint="eastAsia"/>
        </w:rPr>
        <w:t>D.</w:t>
      </w:r>
      <w:r>
        <w:t xml:space="preserve"> </w:t>
      </w:r>
      <w:r>
        <w:rPr>
          <w:rFonts w:hint="eastAsia"/>
        </w:rPr>
        <w:t>格式塔主义</w:t>
      </w:r>
    </w:p>
    <w:p>
      <w:pPr>
        <w:ind w:right="210"/>
        <w:jc w:val="left"/>
      </w:pPr>
      <w:r>
        <w:rPr>
          <w:rFonts w:hint="eastAsia"/>
        </w:rPr>
        <w:t>10.</w:t>
      </w:r>
      <w:r>
        <w:t xml:space="preserve"> </w:t>
      </w:r>
      <w:r>
        <w:rPr>
          <w:rFonts w:hint="eastAsia"/>
        </w:rPr>
        <w:t>在常用的脱产培训方法中，为参加培训的学员提供实际案例展开有目的有组织的团队活动进行学习的研讨方法是（</w:t>
      </w:r>
      <w:r>
        <w:t xml:space="preserve">    </w:t>
      </w:r>
      <w:r>
        <w:rPr>
          <w:rFonts w:hint="eastAsia"/>
        </w:rPr>
        <w:t>）。</w:t>
      </w:r>
    </w:p>
    <w:p>
      <w:pPr>
        <w:ind w:right="210"/>
        <w:jc w:val="left"/>
      </w:pPr>
      <w:r>
        <w:rPr>
          <w:rFonts w:hint="eastAsia"/>
        </w:rPr>
        <w:t xml:space="preserve">A. 公文处理法   </w:t>
      </w:r>
      <w:r>
        <w:t xml:space="preserve">                     </w:t>
      </w:r>
      <w:r>
        <w:rPr>
          <w:rFonts w:hint="eastAsia"/>
        </w:rPr>
        <w:t>B. 案例研究法</w:t>
      </w:r>
    </w:p>
    <w:p>
      <w:pPr>
        <w:ind w:right="210"/>
        <w:jc w:val="left"/>
      </w:pPr>
      <w:r>
        <w:rPr>
          <w:rFonts w:hint="eastAsia"/>
        </w:rPr>
        <w:t xml:space="preserve">C. 管理游戏法   </w:t>
      </w:r>
      <w:r>
        <w:t xml:space="preserve">                     </w:t>
      </w:r>
      <w:r>
        <w:rPr>
          <w:rFonts w:hint="eastAsia"/>
        </w:rPr>
        <w:t>D. 行动学习</w:t>
      </w:r>
    </w:p>
    <w:p>
      <w:pPr>
        <w:ind w:right="210"/>
        <w:jc w:val="left"/>
      </w:pPr>
    </w:p>
    <w:p>
      <w:pPr>
        <w:ind w:right="210"/>
        <w:jc w:val="left"/>
        <w:rPr>
          <w:b/>
          <w:bCs/>
          <w:color w:val="000000"/>
          <w:sz w:val="24"/>
          <w:lang w:bidi="ar"/>
        </w:rPr>
      </w:pPr>
      <w:r>
        <w:rPr>
          <w:b/>
          <w:bCs/>
          <w:color w:val="000000"/>
          <w:sz w:val="24"/>
          <w:lang w:bidi="ar"/>
        </w:rPr>
        <w:t>二、名词解释</w:t>
      </w:r>
    </w:p>
    <w:p>
      <w:pPr>
        <w:ind w:right="210"/>
        <w:jc w:val="left"/>
      </w:pPr>
      <w:r>
        <w:rPr>
          <w:rFonts w:hint="eastAsia"/>
        </w:rPr>
        <w:t>1. 培训与开发</w:t>
      </w:r>
    </w:p>
    <w:p>
      <w:pPr>
        <w:ind w:right="210"/>
        <w:jc w:val="left"/>
      </w:pPr>
      <w:r>
        <w:t>2</w:t>
      </w:r>
      <w:r>
        <w:rPr>
          <w:rFonts w:hint="eastAsia"/>
        </w:rPr>
        <w:t>.</w:t>
      </w:r>
      <w:r>
        <w:t xml:space="preserve"> </w:t>
      </w:r>
      <w:r>
        <w:rPr>
          <w:rFonts w:hint="eastAsia"/>
        </w:rPr>
        <w:t>培训培训者</w:t>
      </w:r>
    </w:p>
    <w:p>
      <w:pPr>
        <w:ind w:right="210"/>
        <w:jc w:val="left"/>
      </w:pPr>
      <w:r>
        <w:t>3</w:t>
      </w:r>
      <w:r>
        <w:rPr>
          <w:rFonts w:hint="eastAsia"/>
        </w:rPr>
        <w:t>.</w:t>
      </w:r>
      <w:r>
        <w:t xml:space="preserve"> </w:t>
      </w:r>
      <w:r>
        <w:rPr>
          <w:rFonts w:hint="eastAsia"/>
        </w:rPr>
        <w:t>正强化</w:t>
      </w:r>
    </w:p>
    <w:p>
      <w:pPr>
        <w:ind w:right="210"/>
        <w:jc w:val="left"/>
      </w:pPr>
      <w:r>
        <w:t>4</w:t>
      </w:r>
      <w:r>
        <w:rPr>
          <w:rFonts w:hint="eastAsia"/>
        </w:rPr>
        <w:t>.</w:t>
      </w:r>
      <w:r>
        <w:t xml:space="preserve"> </w:t>
      </w:r>
      <w:r>
        <w:rPr>
          <w:rFonts w:hint="eastAsia"/>
        </w:rPr>
        <w:t>组织社会化</w:t>
      </w:r>
    </w:p>
    <w:p>
      <w:pPr>
        <w:ind w:right="210"/>
        <w:jc w:val="left"/>
      </w:pPr>
      <w:r>
        <w:t>5</w:t>
      </w:r>
      <w:r>
        <w:rPr>
          <w:rFonts w:hint="eastAsia"/>
        </w:rPr>
        <w:t>.</w:t>
      </w:r>
      <w:r>
        <w:t xml:space="preserve"> </w:t>
      </w:r>
      <w:r>
        <w:rPr>
          <w:rFonts w:hint="eastAsia"/>
        </w:rPr>
        <w:t>行动学习</w:t>
      </w:r>
    </w:p>
    <w:p>
      <w:pPr>
        <w:ind w:right="210"/>
        <w:jc w:val="left"/>
      </w:pPr>
    </w:p>
    <w:p>
      <w:pPr>
        <w:numPr>
          <w:numId w:val="0"/>
        </w:numPr>
        <w:ind w:leftChars="0" w:right="210" w:rightChars="0"/>
        <w:jc w:val="left"/>
        <w:rPr>
          <w:rFonts w:hint="eastAsia"/>
          <w:b/>
          <w:bCs/>
          <w:sz w:val="24"/>
        </w:rPr>
      </w:pPr>
      <w:r>
        <w:rPr>
          <w:rFonts w:hint="eastAsia"/>
          <w:b/>
          <w:bCs/>
          <w:sz w:val="24"/>
          <w:lang w:val="en-US" w:eastAsia="zh-CN"/>
        </w:rPr>
        <w:t>三、</w:t>
      </w:r>
      <w:r>
        <w:rPr>
          <w:rFonts w:hint="eastAsia"/>
          <w:b/>
          <w:bCs/>
          <w:sz w:val="24"/>
        </w:rPr>
        <w:t>简答题</w:t>
      </w:r>
    </w:p>
    <w:p>
      <w:pPr>
        <w:numPr>
          <w:numId w:val="0"/>
        </w:numPr>
        <w:ind w:leftChars="0" w:right="210" w:rightChars="0"/>
        <w:jc w:val="left"/>
      </w:pPr>
      <w:r>
        <w:rPr>
          <w:rFonts w:hint="eastAsia"/>
        </w:rPr>
        <w:t>1</w:t>
      </w:r>
      <w:r>
        <w:t xml:space="preserve">. </w:t>
      </w:r>
      <w:r>
        <w:rPr>
          <w:rFonts w:hint="eastAsia"/>
        </w:rPr>
        <w:t>现代培训的发展趋势包括哪些？</w:t>
      </w:r>
    </w:p>
    <w:p>
      <w:pPr>
        <w:ind w:right="210"/>
        <w:jc w:val="left"/>
      </w:pPr>
    </w:p>
    <w:p>
      <w:pPr>
        <w:ind w:right="210"/>
        <w:jc w:val="left"/>
      </w:pPr>
      <w:r>
        <w:rPr>
          <w:rFonts w:hint="eastAsia"/>
        </w:rPr>
        <w:t>2</w:t>
      </w:r>
      <w:r>
        <w:t xml:space="preserve">. </w:t>
      </w:r>
      <w:r>
        <w:rPr>
          <w:rFonts w:hint="eastAsia"/>
        </w:rPr>
        <w:t>简述柯氏培训有效性评估模型包括哪四个层次及每个层次的含义。</w:t>
      </w:r>
    </w:p>
    <w:p>
      <w:pPr>
        <w:ind w:right="210"/>
        <w:jc w:val="left"/>
      </w:pPr>
    </w:p>
    <w:p>
      <w:pPr>
        <w:ind w:right="210"/>
        <w:jc w:val="left"/>
      </w:pPr>
      <w:r>
        <w:t xml:space="preserve">3. </w:t>
      </w:r>
      <w:r>
        <w:rPr>
          <w:rFonts w:hint="eastAsia"/>
        </w:rPr>
        <w:t>解释建构主义学习理论中的学习环境要素及内涵。</w:t>
      </w:r>
    </w:p>
    <w:p>
      <w:pPr>
        <w:ind w:right="210"/>
        <w:jc w:val="left"/>
      </w:pPr>
    </w:p>
    <w:p>
      <w:pPr>
        <w:ind w:right="210"/>
        <w:jc w:val="left"/>
      </w:pPr>
      <w:r>
        <w:t xml:space="preserve">4. </w:t>
      </w:r>
      <w:r>
        <w:rPr>
          <w:rFonts w:hint="eastAsia"/>
        </w:rPr>
        <w:t>霍兰德的“个性-职业类型匹配理论”包括哪些要点？</w:t>
      </w:r>
    </w:p>
    <w:p>
      <w:pPr>
        <w:ind w:right="210"/>
        <w:jc w:val="left"/>
      </w:pPr>
    </w:p>
    <w:p>
      <w:pPr>
        <w:ind w:right="210"/>
        <w:jc w:val="left"/>
      </w:pPr>
      <w:r>
        <w:t xml:space="preserve">5. </w:t>
      </w:r>
      <w:r>
        <w:rPr>
          <w:rFonts w:hint="eastAsia"/>
        </w:rPr>
        <w:t>新员工导向培训中的岗位职责及知识、技能培训具体包括哪些？</w:t>
      </w:r>
    </w:p>
    <w:p>
      <w:pPr>
        <w:ind w:right="210"/>
        <w:jc w:val="left"/>
      </w:pPr>
    </w:p>
    <w:p>
      <w:pPr>
        <w:ind w:right="210"/>
        <w:jc w:val="left"/>
        <w:rPr>
          <w:b/>
          <w:bCs/>
          <w:sz w:val="24"/>
        </w:rPr>
      </w:pPr>
      <w:r>
        <w:rPr>
          <w:rFonts w:hint="eastAsia"/>
          <w:b/>
          <w:bCs/>
          <w:sz w:val="24"/>
        </w:rPr>
        <w:t>四、论述</w:t>
      </w:r>
    </w:p>
    <w:p>
      <w:pPr>
        <w:ind w:right="210"/>
        <w:jc w:val="left"/>
      </w:pPr>
      <w:r>
        <w:rPr>
          <w:rFonts w:hint="eastAsia"/>
        </w:rPr>
        <w:t>1. 讨论培训与开发受哪些因素影响以及如何影响。</w:t>
      </w:r>
    </w:p>
    <w:p>
      <w:pPr>
        <w:ind w:right="210"/>
        <w:jc w:val="left"/>
      </w:pPr>
    </w:p>
    <w:p>
      <w:pPr>
        <w:ind w:right="210"/>
        <w:jc w:val="left"/>
      </w:pPr>
      <w:r>
        <w:rPr>
          <w:rFonts w:hint="eastAsia"/>
        </w:rPr>
        <w:t>2</w:t>
      </w:r>
      <w:r>
        <w:t xml:space="preserve">. </w:t>
      </w:r>
      <w:r>
        <w:rPr>
          <w:rFonts w:hint="eastAsia"/>
        </w:rPr>
        <w:t>导师制对员工及导师分别有哪些好处？</w:t>
      </w:r>
    </w:p>
    <w:p>
      <w:pPr>
        <w:ind w:right="210"/>
        <w:jc w:val="left"/>
      </w:pPr>
    </w:p>
    <w:p>
      <w:pPr>
        <w:ind w:right="210"/>
        <w:jc w:val="left"/>
        <w:rPr>
          <w:b/>
          <w:bCs/>
          <w:sz w:val="24"/>
        </w:rPr>
      </w:pPr>
      <w:r>
        <w:rPr>
          <w:b/>
          <w:bCs/>
          <w:sz w:val="24"/>
        </w:rPr>
        <w:t>五、案例分析</w:t>
      </w:r>
    </w:p>
    <w:p>
      <w:pPr>
        <w:ind w:right="210" w:firstLine="420" w:firstLineChars="200"/>
        <w:jc w:val="left"/>
        <w:rPr>
          <w:szCs w:val="21"/>
        </w:rPr>
      </w:pPr>
      <w:r>
        <w:rPr>
          <w:rFonts w:hint="eastAsia"/>
          <w:szCs w:val="21"/>
        </w:rPr>
        <w:t>某生产厨具和壁炉设备的企业，有150名员工。近几个月来，因为产品质量的问题，公司已经失去了三个主要客户。经调查发现，该公司产品的次品率为12%，是同行业平均水平的两倍。为此，人力资源部培训主管张平制定了一个关于质量控制的培训计划，目的是使次品率降低到同行业平均水平以下。张主管向所有的一线主管发出通知，要求他们检查工作记录，确定哪些员工的操作存在质量方面的问题，派其参加培训项目。通知还附有一份课程大纲，培训情况如下：</w:t>
      </w:r>
    </w:p>
    <w:p>
      <w:pPr>
        <w:ind w:right="210" w:firstLine="420" w:firstLineChars="200"/>
        <w:jc w:val="left"/>
        <w:rPr>
          <w:szCs w:val="21"/>
        </w:rPr>
      </w:pPr>
      <w:r>
        <w:rPr>
          <w:rFonts w:hint="eastAsia"/>
          <w:szCs w:val="21"/>
        </w:rPr>
        <w:t>培训目标：在6个月内将次品率降低到行业平均水平。</w:t>
      </w:r>
    </w:p>
    <w:p>
      <w:pPr>
        <w:ind w:right="210" w:firstLine="420" w:firstLineChars="200"/>
        <w:jc w:val="left"/>
        <w:rPr>
          <w:szCs w:val="21"/>
        </w:rPr>
      </w:pPr>
      <w:r>
        <w:rPr>
          <w:rFonts w:hint="eastAsia"/>
          <w:szCs w:val="21"/>
        </w:rPr>
        <w:t>培训地点：公司的餐厅。</w:t>
      </w:r>
    </w:p>
    <w:p>
      <w:pPr>
        <w:ind w:right="210" w:firstLine="420" w:firstLineChars="200"/>
        <w:jc w:val="left"/>
        <w:rPr>
          <w:szCs w:val="21"/>
        </w:rPr>
      </w:pPr>
      <w:r>
        <w:rPr>
          <w:rFonts w:hint="eastAsia"/>
          <w:szCs w:val="21"/>
        </w:rPr>
        <w:t>培训时间：8个工时，分解为4个单元进行，每周实施一个单元，具体安排在早餐之后、午餐之前的时间。</w:t>
      </w:r>
    </w:p>
    <w:p>
      <w:pPr>
        <w:ind w:right="210" w:firstLine="420" w:firstLineChars="200"/>
        <w:jc w:val="left"/>
        <w:rPr>
          <w:szCs w:val="21"/>
        </w:rPr>
      </w:pPr>
      <w:r>
        <w:rPr>
          <w:rFonts w:hint="eastAsia"/>
          <w:szCs w:val="21"/>
        </w:rPr>
        <w:t>培训方式：教师讲课、学员讨论、案例研讨和电影演示。准备课程时，教师把讲义中的很多内容印发给每个学员，以便学员准备每一章的内容。培训过程中，学员花费了相当多的时间来讨论教材中每章后面的案例。</w:t>
      </w:r>
    </w:p>
    <w:p>
      <w:pPr>
        <w:ind w:right="210" w:firstLine="420" w:firstLineChars="200"/>
        <w:jc w:val="left"/>
        <w:rPr>
          <w:szCs w:val="21"/>
        </w:rPr>
      </w:pPr>
      <w:r>
        <w:rPr>
          <w:rFonts w:hint="eastAsia"/>
          <w:szCs w:val="21"/>
        </w:rPr>
        <w:t>培训人数：本来应该有大约50名员工参加培训，但是平均每次培训只有30名左右出席，大部分一线主管向张主管强调生产的重要性，有些学员告诉张主管，那些真正需要培训的人已经回到车间工作去了。</w:t>
      </w:r>
    </w:p>
    <w:p>
      <w:pPr>
        <w:ind w:right="210" w:firstLine="420" w:firstLineChars="200"/>
        <w:jc w:val="left"/>
        <w:rPr>
          <w:szCs w:val="21"/>
        </w:rPr>
      </w:pPr>
      <w:r>
        <w:rPr>
          <w:rFonts w:hint="eastAsia"/>
          <w:szCs w:val="21"/>
        </w:rPr>
        <w:t>张主管因工作太忙一直没有亲临培训现场。培训结束后，产品的次品率并没有发生明显的变化。公司领导对培训没有能够实现预定的目标感到非常失望。</w:t>
      </w:r>
    </w:p>
    <w:p>
      <w:pPr>
        <w:ind w:right="210"/>
        <w:jc w:val="left"/>
        <w:rPr>
          <w:szCs w:val="21"/>
        </w:rPr>
      </w:pPr>
    </w:p>
    <w:p>
      <w:pPr>
        <w:ind w:right="210"/>
        <w:jc w:val="left"/>
        <w:rPr>
          <w:szCs w:val="21"/>
        </w:rPr>
      </w:pPr>
      <w:r>
        <w:rPr>
          <w:rFonts w:hint="eastAsia"/>
          <w:szCs w:val="21"/>
        </w:rPr>
        <w:t>针对以上案例，回答下列问题：</w:t>
      </w:r>
    </w:p>
    <w:p>
      <w:pPr>
        <w:ind w:right="210"/>
        <w:jc w:val="left"/>
        <w:rPr>
          <w:szCs w:val="21"/>
        </w:rPr>
      </w:pPr>
      <w:r>
        <w:rPr>
          <w:rFonts w:hint="eastAsia"/>
          <w:szCs w:val="21"/>
        </w:rPr>
        <w:t>（1）导致该公司培训效果不明显的原因有哪些？</w:t>
      </w:r>
    </w:p>
    <w:p>
      <w:pPr>
        <w:ind w:right="210"/>
        <w:jc w:val="left"/>
        <w:rPr>
          <w:rFonts w:hint="eastAsia"/>
          <w:sz w:val="24"/>
          <w:u w:val="single"/>
        </w:rPr>
      </w:pPr>
      <w:r>
        <w:rPr>
          <w:rFonts w:hint="eastAsia"/>
          <w:szCs w:val="21"/>
        </w:rPr>
        <w:t>（2）培训主管可采用哪些方法收集培训效果信息？</w:t>
      </w:r>
    </w:p>
    <w:p>
      <w:pPr>
        <w:ind w:right="210"/>
        <w:jc w:val="left"/>
        <w:rPr>
          <w:rFonts w:hint="default" w:eastAsia="宋体"/>
          <w:lang w:val="en-US" w:eastAsia="zh-CN"/>
        </w:rPr>
      </w:pPr>
      <w:r>
        <w:rPr>
          <w:rFonts w:hint="eastAsia"/>
          <w:sz w:val="24"/>
          <w:u w:val="single"/>
        </w:rPr>
        <w:t>人力资源开发与培训</w:t>
      </w:r>
      <w:r>
        <w:rPr>
          <w:rFonts w:hint="eastAsia"/>
          <w:sz w:val="24"/>
          <w:u w:val="single"/>
          <w:lang w:val="en-US" w:eastAsia="zh-CN"/>
        </w:rPr>
        <w:t>复习资料答案</w:t>
      </w:r>
    </w:p>
    <w:p>
      <w:pPr>
        <w:ind w:right="210"/>
        <w:jc w:val="left"/>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一、单选题</w:t>
      </w:r>
    </w:p>
    <w:p>
      <w:pPr>
        <w:ind w:right="210"/>
        <w:jc w:val="left"/>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1704"/>
        <w:gridCol w:w="1705"/>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rPr>
                <w:rFonts w:ascii="Times New Roman" w:hAnsi="Times New Roman" w:eastAsiaTheme="minorEastAsia"/>
                <w:color w:val="000000" w:themeColor="text1"/>
                <w:kern w:val="0"/>
                <w:sz w:val="21"/>
                <w:szCs w:val="21"/>
                <w14:textFill>
                  <w14:solidFill>
                    <w14:schemeClr w14:val="tx1"/>
                  </w14:solidFill>
                </w14:textFill>
              </w:rPr>
            </w:pPr>
            <w:r>
              <w:rPr>
                <w:rFonts w:ascii="Times New Roman" w:hAnsi="Times New Roman" w:eastAsiaTheme="minorEastAsia"/>
                <w:color w:val="000000" w:themeColor="text1"/>
                <w:kern w:val="0"/>
                <w:sz w:val="21"/>
                <w:szCs w:val="21"/>
                <w14:textFill>
                  <w14:solidFill>
                    <w14:schemeClr w14:val="tx1"/>
                  </w14:solidFill>
                </w14:textFill>
              </w:rPr>
              <w:t>1. B</w:t>
            </w:r>
          </w:p>
        </w:tc>
        <w:tc>
          <w:tcPr>
            <w:tcW w:w="1704" w:type="dxa"/>
          </w:tcPr>
          <w:p>
            <w:pPr>
              <w:rPr>
                <w:rFonts w:ascii="Times New Roman" w:hAnsi="Times New Roman" w:eastAsiaTheme="minorEastAsia"/>
                <w:color w:val="000000" w:themeColor="text1"/>
                <w:kern w:val="0"/>
                <w:sz w:val="21"/>
                <w:szCs w:val="21"/>
                <w14:textFill>
                  <w14:solidFill>
                    <w14:schemeClr w14:val="tx1"/>
                  </w14:solidFill>
                </w14:textFill>
              </w:rPr>
            </w:pPr>
            <w:r>
              <w:rPr>
                <w:rFonts w:ascii="Times New Roman" w:hAnsi="Times New Roman" w:eastAsiaTheme="minorEastAsia"/>
                <w:color w:val="000000" w:themeColor="text1"/>
                <w:kern w:val="0"/>
                <w:sz w:val="21"/>
                <w:szCs w:val="21"/>
                <w14:textFill>
                  <w14:solidFill>
                    <w14:schemeClr w14:val="tx1"/>
                  </w14:solidFill>
                </w14:textFill>
              </w:rPr>
              <w:t>2. C</w:t>
            </w:r>
          </w:p>
        </w:tc>
        <w:tc>
          <w:tcPr>
            <w:tcW w:w="1704" w:type="dxa"/>
          </w:tcPr>
          <w:p>
            <w:pPr>
              <w:rPr>
                <w:rFonts w:ascii="Times New Roman" w:hAnsi="Times New Roman" w:eastAsiaTheme="minorEastAsia"/>
                <w:color w:val="000000" w:themeColor="text1"/>
                <w:kern w:val="0"/>
                <w:sz w:val="21"/>
                <w:szCs w:val="21"/>
                <w14:textFill>
                  <w14:solidFill>
                    <w14:schemeClr w14:val="tx1"/>
                  </w14:solidFill>
                </w14:textFill>
              </w:rPr>
            </w:pPr>
            <w:r>
              <w:rPr>
                <w:rFonts w:ascii="Times New Roman" w:hAnsi="Times New Roman" w:eastAsiaTheme="minorEastAsia"/>
                <w:color w:val="000000" w:themeColor="text1"/>
                <w:kern w:val="0"/>
                <w:sz w:val="21"/>
                <w:szCs w:val="21"/>
                <w14:textFill>
                  <w14:solidFill>
                    <w14:schemeClr w14:val="tx1"/>
                  </w14:solidFill>
                </w14:textFill>
              </w:rPr>
              <w:t>3. D</w:t>
            </w:r>
          </w:p>
        </w:tc>
        <w:tc>
          <w:tcPr>
            <w:tcW w:w="1705" w:type="dxa"/>
          </w:tcPr>
          <w:p>
            <w:pPr>
              <w:rPr>
                <w:rFonts w:ascii="Times New Roman" w:hAnsi="Times New Roman" w:eastAsiaTheme="minorEastAsia"/>
                <w:color w:val="000000" w:themeColor="text1"/>
                <w:kern w:val="0"/>
                <w:sz w:val="21"/>
                <w:szCs w:val="21"/>
                <w14:textFill>
                  <w14:solidFill>
                    <w14:schemeClr w14:val="tx1"/>
                  </w14:solidFill>
                </w14:textFill>
              </w:rPr>
            </w:pPr>
            <w:r>
              <w:rPr>
                <w:rFonts w:ascii="Times New Roman" w:hAnsi="Times New Roman" w:eastAsiaTheme="minorEastAsia"/>
                <w:color w:val="000000" w:themeColor="text1"/>
                <w:kern w:val="0"/>
                <w:sz w:val="21"/>
                <w:szCs w:val="21"/>
                <w14:textFill>
                  <w14:solidFill>
                    <w14:schemeClr w14:val="tx1"/>
                  </w14:solidFill>
                </w14:textFill>
              </w:rPr>
              <w:t>4. A</w:t>
            </w:r>
          </w:p>
        </w:tc>
        <w:tc>
          <w:tcPr>
            <w:tcW w:w="1705" w:type="dxa"/>
          </w:tcPr>
          <w:p>
            <w:pPr>
              <w:rPr>
                <w:rFonts w:ascii="Times New Roman" w:hAnsi="Times New Roman" w:eastAsiaTheme="minorEastAsia"/>
                <w:color w:val="000000" w:themeColor="text1"/>
                <w:kern w:val="0"/>
                <w:sz w:val="21"/>
                <w:szCs w:val="21"/>
                <w14:textFill>
                  <w14:solidFill>
                    <w14:schemeClr w14:val="tx1"/>
                  </w14:solidFill>
                </w14:textFill>
              </w:rPr>
            </w:pPr>
            <w:r>
              <w:rPr>
                <w:rFonts w:ascii="Times New Roman" w:hAnsi="Times New Roman" w:eastAsiaTheme="minorEastAsia"/>
                <w:color w:val="000000" w:themeColor="text1"/>
                <w:kern w:val="0"/>
                <w:sz w:val="21"/>
                <w:szCs w:val="21"/>
                <w14:textFill>
                  <w14:solidFill>
                    <w14:schemeClr w14:val="tx1"/>
                  </w14:solidFill>
                </w14:textFill>
              </w:rPr>
              <w:t>5. 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rPr>
                <w:rFonts w:ascii="Times New Roman" w:hAnsi="Times New Roman" w:eastAsiaTheme="minorEastAsia"/>
                <w:color w:val="000000" w:themeColor="text1"/>
                <w:kern w:val="0"/>
                <w:sz w:val="21"/>
                <w:szCs w:val="21"/>
                <w14:textFill>
                  <w14:solidFill>
                    <w14:schemeClr w14:val="tx1"/>
                  </w14:solidFill>
                </w14:textFill>
              </w:rPr>
            </w:pPr>
            <w:r>
              <w:rPr>
                <w:rFonts w:ascii="Times New Roman" w:hAnsi="Times New Roman" w:eastAsiaTheme="minorEastAsia"/>
                <w:color w:val="000000" w:themeColor="text1"/>
                <w:kern w:val="0"/>
                <w:sz w:val="21"/>
                <w:szCs w:val="21"/>
                <w14:textFill>
                  <w14:solidFill>
                    <w14:schemeClr w14:val="tx1"/>
                  </w14:solidFill>
                </w14:textFill>
              </w:rPr>
              <w:t>6. D</w:t>
            </w:r>
          </w:p>
        </w:tc>
        <w:tc>
          <w:tcPr>
            <w:tcW w:w="1704" w:type="dxa"/>
          </w:tcPr>
          <w:p>
            <w:pPr>
              <w:rPr>
                <w:rFonts w:ascii="Times New Roman" w:hAnsi="Times New Roman" w:eastAsiaTheme="minorEastAsia"/>
                <w:color w:val="000000" w:themeColor="text1"/>
                <w:kern w:val="0"/>
                <w:sz w:val="21"/>
                <w:szCs w:val="21"/>
                <w14:textFill>
                  <w14:solidFill>
                    <w14:schemeClr w14:val="tx1"/>
                  </w14:solidFill>
                </w14:textFill>
              </w:rPr>
            </w:pPr>
            <w:r>
              <w:rPr>
                <w:rFonts w:ascii="Times New Roman" w:hAnsi="Times New Roman" w:eastAsiaTheme="minorEastAsia"/>
                <w:color w:val="000000" w:themeColor="text1"/>
                <w:kern w:val="0"/>
                <w:sz w:val="21"/>
                <w:szCs w:val="21"/>
                <w14:textFill>
                  <w14:solidFill>
                    <w14:schemeClr w14:val="tx1"/>
                  </w14:solidFill>
                </w14:textFill>
              </w:rPr>
              <w:t>7. A</w:t>
            </w:r>
          </w:p>
        </w:tc>
        <w:tc>
          <w:tcPr>
            <w:tcW w:w="1704" w:type="dxa"/>
          </w:tcPr>
          <w:p>
            <w:pPr>
              <w:rPr>
                <w:rFonts w:ascii="Times New Roman" w:hAnsi="Times New Roman" w:eastAsiaTheme="minorEastAsia"/>
                <w:color w:val="000000" w:themeColor="text1"/>
                <w:kern w:val="0"/>
                <w:sz w:val="21"/>
                <w:szCs w:val="21"/>
                <w14:textFill>
                  <w14:solidFill>
                    <w14:schemeClr w14:val="tx1"/>
                  </w14:solidFill>
                </w14:textFill>
              </w:rPr>
            </w:pPr>
            <w:r>
              <w:rPr>
                <w:rFonts w:ascii="Times New Roman" w:hAnsi="Times New Roman" w:eastAsiaTheme="minorEastAsia"/>
                <w:color w:val="000000" w:themeColor="text1"/>
                <w:kern w:val="0"/>
                <w:sz w:val="21"/>
                <w:szCs w:val="21"/>
                <w14:textFill>
                  <w14:solidFill>
                    <w14:schemeClr w14:val="tx1"/>
                  </w14:solidFill>
                </w14:textFill>
              </w:rPr>
              <w:t>8. A</w:t>
            </w:r>
          </w:p>
        </w:tc>
        <w:tc>
          <w:tcPr>
            <w:tcW w:w="1705" w:type="dxa"/>
          </w:tcPr>
          <w:p>
            <w:pPr>
              <w:rPr>
                <w:rFonts w:ascii="Times New Roman" w:hAnsi="Times New Roman" w:eastAsiaTheme="minorEastAsia"/>
                <w:color w:val="000000" w:themeColor="text1"/>
                <w:kern w:val="0"/>
                <w:sz w:val="21"/>
                <w:szCs w:val="21"/>
                <w14:textFill>
                  <w14:solidFill>
                    <w14:schemeClr w14:val="tx1"/>
                  </w14:solidFill>
                </w14:textFill>
              </w:rPr>
            </w:pPr>
            <w:r>
              <w:rPr>
                <w:rFonts w:ascii="Times New Roman" w:hAnsi="Times New Roman" w:eastAsiaTheme="minorEastAsia"/>
                <w:color w:val="000000" w:themeColor="text1"/>
                <w:kern w:val="0"/>
                <w:sz w:val="21"/>
                <w:szCs w:val="21"/>
                <w14:textFill>
                  <w14:solidFill>
                    <w14:schemeClr w14:val="tx1"/>
                  </w14:solidFill>
                </w14:textFill>
              </w:rPr>
              <w:t xml:space="preserve">9. </w:t>
            </w:r>
          </w:p>
        </w:tc>
        <w:tc>
          <w:tcPr>
            <w:tcW w:w="1705" w:type="dxa"/>
          </w:tcPr>
          <w:p>
            <w:pPr>
              <w:rPr>
                <w:rFonts w:ascii="Times New Roman" w:hAnsi="Times New Roman" w:eastAsiaTheme="minorEastAsia"/>
                <w:color w:val="000000" w:themeColor="text1"/>
                <w:kern w:val="0"/>
                <w:sz w:val="21"/>
                <w:szCs w:val="21"/>
                <w14:textFill>
                  <w14:solidFill>
                    <w14:schemeClr w14:val="tx1"/>
                  </w14:solidFill>
                </w14:textFill>
              </w:rPr>
            </w:pPr>
            <w:r>
              <w:rPr>
                <w:rFonts w:ascii="Times New Roman" w:hAnsi="Times New Roman" w:eastAsiaTheme="minorEastAsia"/>
                <w:color w:val="000000" w:themeColor="text1"/>
                <w:kern w:val="0"/>
                <w:sz w:val="21"/>
                <w:szCs w:val="21"/>
                <w14:textFill>
                  <w14:solidFill>
                    <w14:schemeClr w14:val="tx1"/>
                  </w14:solidFill>
                </w14:textFill>
              </w:rPr>
              <w:t>10</w:t>
            </w:r>
            <w:r>
              <w:rPr>
                <w:rFonts w:hint="eastAsia" w:ascii="Times New Roman" w:hAnsi="Times New Roman" w:eastAsiaTheme="minorEastAsia"/>
                <w:color w:val="000000" w:themeColor="text1"/>
                <w:kern w:val="0"/>
                <w:sz w:val="21"/>
                <w:szCs w:val="21"/>
                <w14:textFill>
                  <w14:solidFill>
                    <w14:schemeClr w14:val="tx1"/>
                  </w14:solidFill>
                </w14:textFill>
              </w:rPr>
              <w:t>.</w:t>
            </w:r>
            <w:r>
              <w:rPr>
                <w:rFonts w:ascii="Times New Roman" w:hAnsi="Times New Roman" w:eastAsiaTheme="minorEastAsia"/>
                <w:color w:val="000000" w:themeColor="text1"/>
                <w:kern w:val="0"/>
                <w:sz w:val="21"/>
                <w:szCs w:val="21"/>
                <w14:textFill>
                  <w14:solidFill>
                    <w14:schemeClr w14:val="tx1"/>
                  </w14:solidFill>
                </w14:textFill>
              </w:rPr>
              <w:t xml:space="preserve"> </w:t>
            </w:r>
          </w:p>
        </w:tc>
      </w:tr>
    </w:tbl>
    <w:p>
      <w:pPr>
        <w:ind w:right="210"/>
        <w:jc w:val="left"/>
      </w:pPr>
    </w:p>
    <w:p>
      <w:pPr>
        <w:ind w:right="210"/>
        <w:jc w:val="left"/>
        <w:rPr>
          <w:b/>
          <w:bCs/>
          <w:color w:val="000000"/>
          <w:sz w:val="24"/>
          <w:lang w:bidi="ar"/>
        </w:rPr>
      </w:pPr>
      <w:r>
        <w:rPr>
          <w:b/>
          <w:bCs/>
          <w:color w:val="000000"/>
          <w:sz w:val="24"/>
          <w:lang w:bidi="ar"/>
        </w:rPr>
        <w:t>二、名词解释</w:t>
      </w:r>
    </w:p>
    <w:p>
      <w:pPr>
        <w:ind w:right="210"/>
        <w:jc w:val="left"/>
      </w:pPr>
      <w:r>
        <w:rPr>
          <w:rFonts w:hint="eastAsia"/>
        </w:rPr>
        <w:t>1. 培训与开发：指针对组织（主要是企业）中各类人员工作岗位所需要的知识、技能、理念、素养或素质，乃至岗位规范、职业发展等开展的一系列学习、提升、发展活动的总称。</w:t>
      </w:r>
    </w:p>
    <w:p>
      <w:pPr>
        <w:ind w:right="210"/>
        <w:jc w:val="left"/>
      </w:pPr>
      <w:r>
        <w:t>2</w:t>
      </w:r>
      <w:r>
        <w:rPr>
          <w:rFonts w:hint="eastAsia"/>
        </w:rPr>
        <w:t>.</w:t>
      </w:r>
      <w:r>
        <w:t xml:space="preserve"> </w:t>
      </w:r>
      <w:r>
        <w:rPr>
          <w:rFonts w:hint="eastAsia"/>
        </w:rPr>
        <w:t>培训培训者：为了让培训与开发人员能够胜任越来越具有挑战性的战略性培训与开发工作，首先要对培训者进行培训。</w:t>
      </w:r>
    </w:p>
    <w:p>
      <w:pPr>
        <w:ind w:right="210"/>
        <w:jc w:val="left"/>
      </w:pPr>
      <w:r>
        <w:t>3</w:t>
      </w:r>
      <w:r>
        <w:rPr>
          <w:rFonts w:hint="eastAsia"/>
        </w:rPr>
        <w:t>.</w:t>
      </w:r>
      <w:r>
        <w:t xml:space="preserve"> </w:t>
      </w:r>
      <w:r>
        <w:rPr>
          <w:rFonts w:hint="eastAsia"/>
        </w:rPr>
        <w:t>正强化：是指在预期行为发生后予以奖励和表彰的反应。在这种刺激作用下，个体感到对自己有利，很能满足他的需要，从而增加行为的强度。</w:t>
      </w:r>
    </w:p>
    <w:p>
      <w:pPr>
        <w:ind w:right="210"/>
        <w:jc w:val="left"/>
      </w:pPr>
      <w:r>
        <w:t>4</w:t>
      </w:r>
      <w:r>
        <w:rPr>
          <w:rFonts w:hint="eastAsia"/>
        </w:rPr>
        <w:t>.</w:t>
      </w:r>
      <w:r>
        <w:t xml:space="preserve"> </w:t>
      </w:r>
      <w:r>
        <w:rPr>
          <w:rFonts w:hint="eastAsia"/>
        </w:rPr>
        <w:t>组织社会化：是指使新员工转变为合格的组织成员的过程。</w:t>
      </w:r>
    </w:p>
    <w:p>
      <w:pPr>
        <w:ind w:right="210"/>
        <w:jc w:val="left"/>
      </w:pPr>
      <w:r>
        <w:t>5</w:t>
      </w:r>
      <w:r>
        <w:rPr>
          <w:rFonts w:hint="eastAsia"/>
        </w:rPr>
        <w:t>.</w:t>
      </w:r>
      <w:r>
        <w:t xml:space="preserve"> </w:t>
      </w:r>
      <w:r>
        <w:rPr>
          <w:rFonts w:hint="eastAsia"/>
        </w:rPr>
        <w:t>行动学习：</w:t>
      </w:r>
    </w:p>
    <w:p>
      <w:pPr>
        <w:ind w:right="210"/>
        <w:jc w:val="left"/>
        <w:rPr>
          <w:b/>
          <w:bCs/>
          <w:sz w:val="24"/>
        </w:rPr>
      </w:pPr>
      <w:r>
        <w:rPr>
          <w:rFonts w:hint="eastAsia"/>
          <w:b/>
          <w:bCs/>
          <w:sz w:val="24"/>
        </w:rPr>
        <w:t>三、简答题</w:t>
      </w:r>
    </w:p>
    <w:p>
      <w:pPr>
        <w:ind w:right="210"/>
        <w:jc w:val="left"/>
      </w:pPr>
      <w:r>
        <w:rPr>
          <w:rFonts w:hint="eastAsia"/>
        </w:rPr>
        <w:t>1</w:t>
      </w:r>
      <w:r>
        <w:t xml:space="preserve">. </w:t>
      </w:r>
      <w:r>
        <w:rPr>
          <w:rFonts w:hint="eastAsia"/>
        </w:rPr>
        <w:t>现代培训的发展趋势包括哪些？</w:t>
      </w:r>
    </w:p>
    <w:p>
      <w:pPr>
        <w:ind w:right="210" w:firstLine="420" w:firstLineChars="200"/>
        <w:jc w:val="left"/>
      </w:pPr>
      <w:r>
        <w:rPr>
          <w:rFonts w:hint="eastAsia"/>
        </w:rPr>
        <w:t>答：（1）培训组织的多样性：企业大学进一步发展，产学合作，培训职能部分外包。</w:t>
      </w:r>
    </w:p>
    <w:p>
      <w:pPr>
        <w:ind w:right="210" w:firstLine="420" w:firstLineChars="200"/>
        <w:jc w:val="left"/>
      </w:pPr>
      <w:r>
        <w:rPr>
          <w:rFonts w:hint="eastAsia"/>
        </w:rPr>
        <w:t>（2）以胜任力导向的培训。</w:t>
      </w:r>
    </w:p>
    <w:p>
      <w:pPr>
        <w:ind w:right="210" w:firstLine="420" w:firstLineChars="200"/>
        <w:jc w:val="left"/>
      </w:pPr>
      <w:r>
        <w:rPr>
          <w:rFonts w:hint="eastAsia"/>
        </w:rPr>
        <w:t>（3）从战略高度进行领导力的开发。</w:t>
      </w:r>
    </w:p>
    <w:p>
      <w:pPr>
        <w:ind w:right="210" w:firstLine="420" w:firstLineChars="200"/>
        <w:jc w:val="left"/>
      </w:pPr>
      <w:r>
        <w:rPr>
          <w:rFonts w:hint="eastAsia"/>
        </w:rPr>
        <w:t>（4）以学习型组织为导向的持续学习和即时化培训。</w:t>
      </w:r>
    </w:p>
    <w:p>
      <w:pPr>
        <w:ind w:right="210" w:firstLine="420" w:firstLineChars="200"/>
        <w:jc w:val="left"/>
      </w:pPr>
      <w:r>
        <w:rPr>
          <w:rFonts w:hint="eastAsia"/>
        </w:rPr>
        <w:t>（5）培训的技术支持手段更加先进。</w:t>
      </w:r>
    </w:p>
    <w:p>
      <w:pPr>
        <w:ind w:right="210" w:firstLine="420" w:firstLineChars="200"/>
        <w:jc w:val="left"/>
      </w:pPr>
      <w:r>
        <w:rPr>
          <w:rFonts w:hint="eastAsia"/>
        </w:rPr>
        <w:t>（6）培训内容注重国际化与本土化的结合。</w:t>
      </w:r>
    </w:p>
    <w:p>
      <w:pPr>
        <w:ind w:right="210"/>
        <w:jc w:val="left"/>
      </w:pPr>
    </w:p>
    <w:p>
      <w:pPr>
        <w:ind w:right="210"/>
        <w:jc w:val="left"/>
      </w:pPr>
      <w:r>
        <w:rPr>
          <w:rFonts w:hint="eastAsia"/>
        </w:rPr>
        <w:t>2</w:t>
      </w:r>
      <w:r>
        <w:t xml:space="preserve">. </w:t>
      </w:r>
      <w:r>
        <w:rPr>
          <w:rFonts w:hint="eastAsia"/>
        </w:rPr>
        <w:t>简述柯氏培训有效性评估模型包括哪四个层次及每个层次的含义。</w:t>
      </w:r>
    </w:p>
    <w:p>
      <w:pPr>
        <w:ind w:right="210" w:firstLine="420" w:firstLineChars="200"/>
        <w:jc w:val="left"/>
      </w:pPr>
      <w:r>
        <w:rPr>
          <w:rFonts w:hint="eastAsia"/>
        </w:rPr>
        <w:t>答：（1）反应评估：指参与者对培训项目的评价，用来评估学员对培训课程、培训教室和培训安排（培训材料、培训师、设备、方法）的喜好程度。</w:t>
      </w:r>
    </w:p>
    <w:p>
      <w:pPr>
        <w:ind w:right="210" w:firstLine="420" w:firstLineChars="200"/>
        <w:jc w:val="left"/>
      </w:pPr>
      <w:r>
        <w:rPr>
          <w:rFonts w:hint="eastAsia"/>
        </w:rPr>
        <w:t>（2）学习评估：指评估学员在学习过程中，学到了哪些知识，改进了哪些技能，改变了哪些态度，通常采用前后比较或设置对照组的方式进行评估。</w:t>
      </w:r>
    </w:p>
    <w:p>
      <w:pPr>
        <w:ind w:right="210" w:firstLine="420" w:firstLineChars="200"/>
        <w:jc w:val="left"/>
      </w:pPr>
      <w:r>
        <w:rPr>
          <w:rFonts w:hint="eastAsia"/>
        </w:rPr>
        <w:t>（3）行为评估：考察被培训者的知识运用程度。</w:t>
      </w:r>
    </w:p>
    <w:p>
      <w:pPr>
        <w:ind w:right="210" w:firstLine="420" w:firstLineChars="200"/>
        <w:jc w:val="left"/>
      </w:pPr>
      <w:r>
        <w:rPr>
          <w:rFonts w:hint="eastAsia"/>
        </w:rPr>
        <w:t>（4）结果评估，即判断培训给企业带来了哪些改变，如产品质量、生产力、差错率、员工生活质量、经济收益等。</w:t>
      </w:r>
    </w:p>
    <w:p>
      <w:pPr>
        <w:ind w:right="210"/>
        <w:jc w:val="left"/>
      </w:pPr>
    </w:p>
    <w:p>
      <w:pPr>
        <w:ind w:right="210"/>
        <w:jc w:val="left"/>
      </w:pPr>
      <w:r>
        <w:t xml:space="preserve">3. </w:t>
      </w:r>
      <w:r>
        <w:rPr>
          <w:rFonts w:hint="eastAsia"/>
        </w:rPr>
        <w:t>解释建构主义学习理论中的学习环境要素及内涵。</w:t>
      </w:r>
    </w:p>
    <w:p>
      <w:pPr>
        <w:ind w:right="210" w:firstLine="420" w:firstLineChars="200"/>
        <w:jc w:val="left"/>
      </w:pPr>
      <w:r>
        <w:rPr>
          <w:rFonts w:hint="eastAsia"/>
        </w:rPr>
        <w:t>答：情境、协作、会话、意义建构是学习环境中四大要素。</w:t>
      </w:r>
    </w:p>
    <w:p>
      <w:pPr>
        <w:ind w:right="210" w:firstLine="420" w:firstLineChars="200"/>
        <w:jc w:val="left"/>
      </w:pPr>
      <w:r>
        <w:rPr>
          <w:rFonts w:hint="eastAsia"/>
        </w:rPr>
        <w:t>（1）情境指学习环境中的情境必须有利于学习者对所学内容的意义建构。</w:t>
      </w:r>
    </w:p>
    <w:p>
      <w:pPr>
        <w:ind w:right="210" w:firstLine="420" w:firstLineChars="200"/>
        <w:jc w:val="left"/>
      </w:pPr>
      <w:r>
        <w:rPr>
          <w:rFonts w:hint="eastAsia"/>
        </w:rPr>
        <w:t>（2）协作贯穿学习过程的始终，对于学习资料的收集与分析、假设的提出和验证等的最终建构有重要的作用。</w:t>
      </w:r>
    </w:p>
    <w:p>
      <w:pPr>
        <w:ind w:right="210" w:firstLine="420" w:firstLineChars="200"/>
        <w:jc w:val="left"/>
      </w:pPr>
      <w:r>
        <w:rPr>
          <w:rFonts w:hint="eastAsia"/>
        </w:rPr>
        <w:t>（3）会话是协作过程中不可缺少的一部分。学习小组成员之间要通过会话商讨如何完成规定的学习任务的计划；协作学习的过程也是会话过程，会话是达成意义建构的重要手段之一。</w:t>
      </w:r>
    </w:p>
    <w:p>
      <w:pPr>
        <w:ind w:right="210" w:firstLine="420" w:firstLineChars="200"/>
        <w:jc w:val="left"/>
      </w:pPr>
      <w:r>
        <w:rPr>
          <w:rFonts w:hint="eastAsia"/>
        </w:rPr>
        <w:t>（4）意义建构是整个学习过程的最终目标。所要建构的意义指事物的性质规律和事物之间的内在联系。</w:t>
      </w:r>
    </w:p>
    <w:p>
      <w:pPr>
        <w:ind w:right="210"/>
        <w:jc w:val="left"/>
      </w:pPr>
    </w:p>
    <w:p>
      <w:pPr>
        <w:ind w:right="210"/>
        <w:jc w:val="left"/>
      </w:pPr>
      <w:r>
        <w:t xml:space="preserve">4. </w:t>
      </w:r>
      <w:r>
        <w:rPr>
          <w:rFonts w:hint="eastAsia"/>
        </w:rPr>
        <w:t>霍兰德的“个性-职业类型匹配理论”包括哪些要点？</w:t>
      </w:r>
    </w:p>
    <w:p>
      <w:pPr>
        <w:ind w:right="210" w:firstLine="420" w:firstLineChars="200"/>
        <w:jc w:val="left"/>
      </w:pPr>
      <w:r>
        <w:rPr>
          <w:rFonts w:hint="eastAsia"/>
        </w:rPr>
        <w:t>答：大多数人的个性可以分为六种：现实型、研究型、艺术型、社会型、管理型、常规型。所有职业也可以分为基本的六种类型，与人的个性类型相对应，任何一种职业类型都可以归属于其中的一种或几种的组合。</w:t>
      </w:r>
    </w:p>
    <w:p>
      <w:pPr>
        <w:ind w:right="210" w:firstLine="420" w:firstLineChars="200"/>
        <w:jc w:val="left"/>
      </w:pPr>
      <w:r>
        <w:rPr>
          <w:rFonts w:hint="eastAsia"/>
        </w:rPr>
        <w:t>人们倾向于寻找与自己个性类型匹配的职业，追求充分施展其能力与价值观的工作情景。</w:t>
      </w:r>
    </w:p>
    <w:p>
      <w:pPr>
        <w:ind w:right="210" w:firstLine="420" w:firstLineChars="200"/>
        <w:jc w:val="left"/>
      </w:pPr>
      <w:r>
        <w:rPr>
          <w:rFonts w:hint="eastAsia"/>
        </w:rPr>
        <w:t>个人的行为取决于其个性与所处的职业情景之间的相互作用，如果了解个性类型及所处的在职业类型，就可以根据有关知识对人的行为进行预测，包括职业选择、工作转换、工作业绩、教育和社会行为等。</w:t>
      </w:r>
    </w:p>
    <w:p>
      <w:pPr>
        <w:ind w:right="210"/>
        <w:jc w:val="left"/>
      </w:pPr>
    </w:p>
    <w:p>
      <w:pPr>
        <w:ind w:right="210"/>
        <w:jc w:val="left"/>
      </w:pPr>
      <w:r>
        <w:t xml:space="preserve">5. </w:t>
      </w:r>
      <w:r>
        <w:rPr>
          <w:rFonts w:hint="eastAsia"/>
        </w:rPr>
        <w:t>新员工导向培训中的岗位职责及知识、技能培训具体包括哪些？</w:t>
      </w:r>
    </w:p>
    <w:p>
      <w:pPr>
        <w:ind w:right="210" w:firstLine="420" w:firstLineChars="200"/>
        <w:jc w:val="left"/>
      </w:pPr>
      <w:r>
        <w:rPr>
          <w:rFonts w:hint="eastAsia"/>
        </w:rPr>
        <w:t>答：</w:t>
      </w:r>
    </w:p>
    <w:p>
      <w:pPr>
        <w:ind w:right="210" w:firstLine="420" w:firstLineChars="200"/>
        <w:jc w:val="left"/>
      </w:pPr>
    </w:p>
    <w:p>
      <w:pPr>
        <w:ind w:right="210"/>
        <w:jc w:val="left"/>
        <w:rPr>
          <w:b/>
          <w:bCs/>
          <w:sz w:val="24"/>
        </w:rPr>
      </w:pPr>
      <w:r>
        <w:rPr>
          <w:rFonts w:hint="eastAsia"/>
          <w:b/>
          <w:bCs/>
          <w:sz w:val="24"/>
        </w:rPr>
        <w:t>四、论述</w:t>
      </w:r>
    </w:p>
    <w:p>
      <w:pPr>
        <w:ind w:right="210"/>
        <w:jc w:val="left"/>
      </w:pPr>
      <w:r>
        <w:rPr>
          <w:rFonts w:hint="eastAsia"/>
        </w:rPr>
        <w:t>1. 讨论培训与开发受哪些因素影响以及如何影响。</w:t>
      </w:r>
    </w:p>
    <w:p>
      <w:pPr>
        <w:ind w:right="210" w:firstLine="420" w:firstLineChars="200"/>
        <w:jc w:val="left"/>
      </w:pPr>
      <w:r>
        <w:rPr>
          <w:rFonts w:hint="eastAsia"/>
        </w:rPr>
        <w:t>答：（1）组织战略。战略性人力资源管理的一个特点是与组织的整体战略整合在一起，并在人力资源管理的各个方面体现出这种关联性。</w:t>
      </w:r>
    </w:p>
    <w:p>
      <w:pPr>
        <w:ind w:right="210" w:firstLine="420" w:firstLineChars="200"/>
        <w:jc w:val="left"/>
      </w:pPr>
      <w:r>
        <w:rPr>
          <w:rFonts w:hint="eastAsia"/>
        </w:rPr>
        <w:t>（2）组织结构。在集权式的管理中，培训是由公司总部统一制定和设计的；分权式管理中，总部下属的分公司和分支结构可以根据自己的发展需要自行制定培训目标和计划、培训内容和实施方式；还有些组织的做法介于两者之间。</w:t>
      </w:r>
    </w:p>
    <w:p>
      <w:pPr>
        <w:ind w:right="210" w:firstLine="420" w:firstLineChars="200"/>
        <w:jc w:val="left"/>
      </w:pPr>
      <w:r>
        <w:rPr>
          <w:rFonts w:hint="eastAsia"/>
        </w:rPr>
        <w:t>（3）技术因素。有些行业的技术变化快，要求对员工和管理层不断培训，技术含量的增加使得工作岗位的可替代性变小，只有通过对现有人员进行不断的培训，才能确保组织中有足够的合适的成员承担现有的工作。组织所提供的产品和服务的种类和复杂性也会影响到培训与开发系统。</w:t>
      </w:r>
    </w:p>
    <w:p>
      <w:pPr>
        <w:ind w:right="210" w:firstLine="420" w:firstLineChars="200"/>
        <w:jc w:val="left"/>
      </w:pPr>
      <w:r>
        <w:rPr>
          <w:rFonts w:hint="eastAsia"/>
        </w:rPr>
        <w:t>（4）对培训与开发的态度。不同组织对待培训与开发的态度不同，有些组织持比较积极的态度，把培训与开发当成组织的一种必备品，并且认为能够从培训与开发项目中获益。组织对培训与开发的态度往往与组织高层领导者的想法有关，也与公司文化、人员晋升方法有关。</w:t>
      </w:r>
    </w:p>
    <w:p>
      <w:pPr>
        <w:ind w:right="210"/>
        <w:jc w:val="left"/>
      </w:pPr>
    </w:p>
    <w:p>
      <w:pPr>
        <w:ind w:right="210"/>
        <w:jc w:val="left"/>
      </w:pPr>
      <w:r>
        <w:rPr>
          <w:rFonts w:hint="eastAsia"/>
        </w:rPr>
        <w:t>2</w:t>
      </w:r>
      <w:r>
        <w:t xml:space="preserve">. </w:t>
      </w:r>
      <w:r>
        <w:rPr>
          <w:rFonts w:hint="eastAsia"/>
        </w:rPr>
        <w:t>导师制对员工及导师分别有哪些好处？</w:t>
      </w:r>
    </w:p>
    <w:p>
      <w:pPr>
        <w:ind w:right="210" w:firstLine="420" w:firstLineChars="200"/>
        <w:jc w:val="left"/>
      </w:pPr>
      <w:r>
        <w:rPr>
          <w:rFonts w:hint="eastAsia"/>
        </w:rPr>
        <w:t>答：</w:t>
      </w:r>
    </w:p>
    <w:p>
      <w:pPr>
        <w:ind w:right="210" w:firstLine="420" w:firstLineChars="200"/>
        <w:jc w:val="left"/>
      </w:pPr>
    </w:p>
    <w:p>
      <w:pPr>
        <w:ind w:right="210"/>
        <w:jc w:val="left"/>
        <w:rPr>
          <w:b/>
          <w:bCs/>
          <w:sz w:val="24"/>
        </w:rPr>
      </w:pPr>
      <w:r>
        <w:rPr>
          <w:b/>
          <w:bCs/>
          <w:sz w:val="24"/>
        </w:rPr>
        <w:t>五、案例分析</w:t>
      </w:r>
    </w:p>
    <w:p>
      <w:pPr>
        <w:ind w:right="210"/>
        <w:jc w:val="left"/>
        <w:rPr>
          <w:szCs w:val="21"/>
        </w:rPr>
      </w:pPr>
      <w:r>
        <w:rPr>
          <w:rFonts w:hint="eastAsia"/>
          <w:szCs w:val="21"/>
        </w:rPr>
        <w:t>（1）导致该公司培训效果不明显的原因有哪些？</w:t>
      </w:r>
    </w:p>
    <w:p>
      <w:pPr>
        <w:ind w:right="210" w:firstLine="420" w:firstLineChars="200"/>
        <w:jc w:val="left"/>
        <w:rPr>
          <w:szCs w:val="21"/>
        </w:rPr>
      </w:pPr>
      <w:r>
        <w:rPr>
          <w:rFonts w:hint="eastAsia"/>
          <w:szCs w:val="21"/>
        </w:rPr>
        <w:t>答：第一，没有认真分析找出出现次品的真正原因，就直接断定次品率高是由于员工缺乏相关培训造成的，忽略了可能影响产品质量的其他因素，使培训缺乏针对性。</w:t>
      </w:r>
    </w:p>
    <w:p>
      <w:pPr>
        <w:ind w:right="210" w:firstLine="420" w:firstLineChars="200"/>
        <w:jc w:val="left"/>
        <w:rPr>
          <w:szCs w:val="21"/>
        </w:rPr>
      </w:pPr>
      <w:r>
        <w:rPr>
          <w:rFonts w:hint="eastAsia"/>
          <w:szCs w:val="21"/>
        </w:rPr>
        <w:t>第二，没有深入分析培训需求。设计培训方案没有征询一线主管和工人们的意见，使培训得不到广泛的理解和支持。</w:t>
      </w:r>
    </w:p>
    <w:p>
      <w:pPr>
        <w:ind w:right="210" w:firstLine="420" w:firstLineChars="200"/>
        <w:jc w:val="left"/>
        <w:rPr>
          <w:szCs w:val="21"/>
        </w:rPr>
      </w:pPr>
      <w:r>
        <w:rPr>
          <w:rFonts w:hint="eastAsia"/>
          <w:szCs w:val="21"/>
        </w:rPr>
        <w:t>第三，培训没有采取有效的保证措施。一线主管只重视生产，不安排真正需要培训的人员参加培训。</w:t>
      </w:r>
    </w:p>
    <w:p>
      <w:pPr>
        <w:ind w:right="210" w:firstLine="420" w:firstLineChars="200"/>
        <w:jc w:val="left"/>
        <w:rPr>
          <w:szCs w:val="21"/>
        </w:rPr>
      </w:pPr>
      <w:r>
        <w:rPr>
          <w:rFonts w:hint="eastAsia"/>
          <w:szCs w:val="21"/>
        </w:rPr>
        <w:t>第四，培训方法选择不当。课程设置、授课方式都不适宜一线工人技术培训，使培训无法达到预期的效果。</w:t>
      </w:r>
    </w:p>
    <w:p>
      <w:pPr>
        <w:ind w:right="210" w:firstLine="420" w:firstLineChars="200"/>
        <w:jc w:val="left"/>
        <w:rPr>
          <w:szCs w:val="21"/>
        </w:rPr>
      </w:pPr>
      <w:r>
        <w:rPr>
          <w:rFonts w:hint="eastAsia"/>
          <w:szCs w:val="21"/>
        </w:rPr>
        <w:t>第五，培训地点选择不当。在餐厅培训不仅氛围不好，对于一线工人无法实施操作技能培训。这类培训应安排在专用教室或生产车间，现场指导教学，方能使培训达到立竿见影的效果。</w:t>
      </w:r>
    </w:p>
    <w:p>
      <w:pPr>
        <w:ind w:right="210" w:firstLine="420" w:firstLineChars="200"/>
        <w:jc w:val="left"/>
        <w:rPr>
          <w:szCs w:val="21"/>
        </w:rPr>
      </w:pPr>
      <w:r>
        <w:rPr>
          <w:rFonts w:hint="eastAsia"/>
          <w:szCs w:val="21"/>
        </w:rPr>
        <w:t>第六，该公司人力资源部张经理对培训计划的组织协调及实施过程的监督和控制不到位，也是导致这次培训效果不佳的重要原因。</w:t>
      </w:r>
    </w:p>
    <w:p>
      <w:pPr>
        <w:ind w:right="210"/>
        <w:jc w:val="left"/>
        <w:rPr>
          <w:szCs w:val="21"/>
        </w:rPr>
      </w:pPr>
    </w:p>
    <w:p>
      <w:pPr>
        <w:ind w:right="210"/>
        <w:jc w:val="left"/>
        <w:rPr>
          <w:szCs w:val="21"/>
        </w:rPr>
      </w:pPr>
      <w:r>
        <w:rPr>
          <w:rFonts w:hint="eastAsia"/>
          <w:szCs w:val="21"/>
        </w:rPr>
        <w:t>（2）培训主管可采用哪些方法收集培训效果信息？</w:t>
      </w:r>
    </w:p>
    <w:p>
      <w:pPr>
        <w:ind w:right="210" w:firstLine="420" w:firstLineChars="200"/>
        <w:jc w:val="left"/>
        <w:rPr>
          <w:szCs w:val="21"/>
        </w:rPr>
      </w:pPr>
      <w:r>
        <w:rPr>
          <w:rFonts w:hint="eastAsia"/>
          <w:szCs w:val="21"/>
        </w:rPr>
        <w:t>答：第一，通过资料收集信息，可收集培训方案、培训教程、会议纪要、现场记录等资料。</w:t>
      </w:r>
    </w:p>
    <w:p>
      <w:pPr>
        <w:ind w:right="210"/>
        <w:jc w:val="left"/>
        <w:rPr>
          <w:szCs w:val="21"/>
        </w:rPr>
      </w:pPr>
      <w:r>
        <w:rPr>
          <w:rFonts w:hint="eastAsia"/>
          <w:szCs w:val="21"/>
        </w:rPr>
        <w:t xml:space="preserve">    第二，通过观察收集信息，如观察培训组织准备工作、培训实施现场、培训对象参加情况、培训对象反映情况、培训对象在培训前后的变化。</w:t>
      </w:r>
    </w:p>
    <w:p>
      <w:pPr>
        <w:ind w:right="210" w:firstLine="420" w:firstLineChars="200"/>
        <w:jc w:val="left"/>
        <w:rPr>
          <w:szCs w:val="21"/>
        </w:rPr>
      </w:pPr>
      <w:r>
        <w:rPr>
          <w:rFonts w:hint="eastAsia"/>
          <w:szCs w:val="21"/>
        </w:rPr>
        <w:t>第三，通过访谈收集信息，如访谈培训对象、培训实施者、培训组织者，以及培训学员领导和下属。</w:t>
      </w:r>
    </w:p>
    <w:p>
      <w:pPr>
        <w:ind w:right="210" w:firstLine="420" w:firstLineChars="200"/>
        <w:jc w:val="left"/>
        <w:rPr>
          <w:szCs w:val="21"/>
        </w:rPr>
      </w:pPr>
      <w:r>
        <w:rPr>
          <w:rFonts w:hint="eastAsia"/>
          <w:szCs w:val="21"/>
        </w:rPr>
        <w:t>第四，通过问卷调查收集信息，如培训需求调查、培训组织调查、培训内容及形式调查、培训讲师调查，以及培训效果综合调查等。</w:t>
      </w:r>
      <w:bookmarkStart w:id="0" w:name="_GoBack"/>
      <w:bookmarkEnd w:id="0"/>
    </w:p>
    <w:p>
      <w:pPr>
        <w:ind w:right="210" w:firstLine="420" w:firstLineChars="200"/>
        <w:jc w:val="left"/>
        <w:rPr>
          <w:szCs w:val="21"/>
        </w:rPr>
      </w:pPr>
      <w:r>
        <w:rPr>
          <w:rFonts w:hint="eastAsia"/>
          <w:szCs w:val="21"/>
        </w:rPr>
        <w:t>（回答实验设计等其他方法也可适当加分）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54580A"/>
    <w:multiLevelType w:val="singleLevel"/>
    <w:tmpl w:val="7054580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VjZDczN2VjNDBhZjIwYzk1ZjIxZmJjMDllZDY4MWEifQ=="/>
  </w:docVars>
  <w:rsids>
    <w:rsidRoot w:val="00536D89"/>
    <w:rsid w:val="0002772A"/>
    <w:rsid w:val="000E1FB6"/>
    <w:rsid w:val="00123D4C"/>
    <w:rsid w:val="001B3CD1"/>
    <w:rsid w:val="001D6D5C"/>
    <w:rsid w:val="0020078D"/>
    <w:rsid w:val="00231304"/>
    <w:rsid w:val="00235D08"/>
    <w:rsid w:val="00271FB2"/>
    <w:rsid w:val="00285576"/>
    <w:rsid w:val="002C52DA"/>
    <w:rsid w:val="002E6845"/>
    <w:rsid w:val="00313ACC"/>
    <w:rsid w:val="00323810"/>
    <w:rsid w:val="00327ABF"/>
    <w:rsid w:val="00352DC5"/>
    <w:rsid w:val="00355BAE"/>
    <w:rsid w:val="00357F97"/>
    <w:rsid w:val="003A644E"/>
    <w:rsid w:val="003D424C"/>
    <w:rsid w:val="003E550D"/>
    <w:rsid w:val="00446C3B"/>
    <w:rsid w:val="0046035A"/>
    <w:rsid w:val="004760FE"/>
    <w:rsid w:val="004B3C42"/>
    <w:rsid w:val="004D7F06"/>
    <w:rsid w:val="0050047D"/>
    <w:rsid w:val="0051085A"/>
    <w:rsid w:val="00516F5E"/>
    <w:rsid w:val="00523C7C"/>
    <w:rsid w:val="00531EF3"/>
    <w:rsid w:val="00536D89"/>
    <w:rsid w:val="005A1942"/>
    <w:rsid w:val="005C4D3A"/>
    <w:rsid w:val="0063629E"/>
    <w:rsid w:val="00646402"/>
    <w:rsid w:val="00650148"/>
    <w:rsid w:val="00666258"/>
    <w:rsid w:val="00694E39"/>
    <w:rsid w:val="006A1D24"/>
    <w:rsid w:val="006C2732"/>
    <w:rsid w:val="006D03D9"/>
    <w:rsid w:val="006D5A6A"/>
    <w:rsid w:val="00784800"/>
    <w:rsid w:val="007944ED"/>
    <w:rsid w:val="007A7BBA"/>
    <w:rsid w:val="007B6C92"/>
    <w:rsid w:val="007C6E4C"/>
    <w:rsid w:val="007D7854"/>
    <w:rsid w:val="00824CEC"/>
    <w:rsid w:val="00842A24"/>
    <w:rsid w:val="008C4E5D"/>
    <w:rsid w:val="008C701E"/>
    <w:rsid w:val="008F7B68"/>
    <w:rsid w:val="00927F57"/>
    <w:rsid w:val="009514CC"/>
    <w:rsid w:val="00965C06"/>
    <w:rsid w:val="009C5723"/>
    <w:rsid w:val="009C64DF"/>
    <w:rsid w:val="009D28ED"/>
    <w:rsid w:val="009D3822"/>
    <w:rsid w:val="00A015CC"/>
    <w:rsid w:val="00A37AFD"/>
    <w:rsid w:val="00A527F8"/>
    <w:rsid w:val="00A61CDA"/>
    <w:rsid w:val="00A62389"/>
    <w:rsid w:val="00AA567B"/>
    <w:rsid w:val="00AB2179"/>
    <w:rsid w:val="00AC0C18"/>
    <w:rsid w:val="00B0650E"/>
    <w:rsid w:val="00B42CF7"/>
    <w:rsid w:val="00B75C9C"/>
    <w:rsid w:val="00B8038C"/>
    <w:rsid w:val="00BA1769"/>
    <w:rsid w:val="00BF11C6"/>
    <w:rsid w:val="00CE53B5"/>
    <w:rsid w:val="00CF3234"/>
    <w:rsid w:val="00D25102"/>
    <w:rsid w:val="00D27294"/>
    <w:rsid w:val="00D33F2C"/>
    <w:rsid w:val="00D62444"/>
    <w:rsid w:val="00DC573D"/>
    <w:rsid w:val="00DC7FE9"/>
    <w:rsid w:val="00DF5778"/>
    <w:rsid w:val="00E214E9"/>
    <w:rsid w:val="00E67C00"/>
    <w:rsid w:val="00EA1854"/>
    <w:rsid w:val="00EE0DC0"/>
    <w:rsid w:val="00EF41DD"/>
    <w:rsid w:val="00EF4E0C"/>
    <w:rsid w:val="00FA4230"/>
    <w:rsid w:val="2C2A4584"/>
    <w:rsid w:val="673F17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rPr>
      <w:rFonts w:asciiTheme="minorHAnsi" w:hAnsiTheme="minorHAnsi" w:eastAsiaTheme="minorEastAsia"/>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uiPriority w:val="99"/>
    <w:rPr>
      <w:rFonts w:cs="Times New Roman"/>
      <w:sz w:val="18"/>
      <w:szCs w:val="18"/>
    </w:rPr>
  </w:style>
  <w:style w:type="character" w:customStyle="1" w:styleId="8">
    <w:name w:val="页脚 字符"/>
    <w:basedOn w:val="6"/>
    <w:link w:val="2"/>
    <w:qFormat/>
    <w:uiPriority w:val="99"/>
    <w:rPr>
      <w:rFonts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577</Words>
  <Characters>3290</Characters>
  <Lines>27</Lines>
  <Paragraphs>7</Paragraphs>
  <TotalTime>8</TotalTime>
  <ScaleCrop>false</ScaleCrop>
  <LinksUpToDate>false</LinksUpToDate>
  <CharactersWithSpaces>3860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2022-03-17T07:21:00Z</dcterms:created>
  <dc:creator>Mianzhen Pan</dc:creator>
  <cp:lastModifiedBy>温岭育华徐老师18957602802</cp:lastModifiedBy>
  <dcterms:modified xsi:type="dcterms:W3CDTF">2022-12-08T07:48:13Z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F5760B5516554AE5B46652C552D7B51E</vt:lpwstr>
  </property>
</Properties>
</file>