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2CB4C">
      <w:pPr>
        <w:jc w:val="center"/>
        <w:rPr>
          <w:rFonts w:hint="default" w:eastAsia="宋体"/>
          <w:sz w:val="28"/>
          <w:szCs w:val="28"/>
          <w:highlight w:val="none"/>
          <w:lang w:val="en-US" w:eastAsia="zh-CN"/>
        </w:rPr>
      </w:pPr>
      <w:r>
        <w:rPr>
          <w:rFonts w:hint="eastAsia"/>
          <w:sz w:val="28"/>
          <w:szCs w:val="28"/>
          <w:highlight w:val="none"/>
          <w:lang w:val="en-US" w:eastAsia="zh-CN"/>
        </w:rPr>
        <w:t>企业战略管理复习资料</w:t>
      </w:r>
    </w:p>
    <w:p w14:paraId="2D126F25">
      <w:pPr>
        <w:pStyle w:val="11"/>
        <w:numPr>
          <w:ilvl w:val="0"/>
          <w:numId w:val="1"/>
        </w:numPr>
        <w:spacing w:line="360" w:lineRule="auto"/>
        <w:ind w:left="482" w:hanging="482" w:firstLineChars="0"/>
        <w:rPr>
          <w:rFonts w:ascii="黑体" w:hAnsi="黑体" w:eastAsia="黑体"/>
          <w:sz w:val="24"/>
          <w:highlight w:val="none"/>
        </w:rPr>
      </w:pPr>
      <w:r>
        <w:rPr>
          <w:rFonts w:hint="eastAsia" w:ascii="黑体" w:hAnsi="黑体" w:eastAsia="黑体"/>
          <w:sz w:val="24"/>
          <w:highlight w:val="none"/>
        </w:rPr>
        <w:t>判断题</w:t>
      </w:r>
    </w:p>
    <w:p w14:paraId="6E6EC846">
      <w:pPr>
        <w:pStyle w:val="11"/>
        <w:numPr>
          <w:ilvl w:val="0"/>
          <w:numId w:val="2"/>
        </w:numPr>
        <w:spacing w:line="300" w:lineRule="auto"/>
        <w:ind w:left="284" w:hanging="74" w:firstLineChars="0"/>
        <w:rPr>
          <w:highlight w:val="none"/>
        </w:rPr>
      </w:pPr>
      <w:r>
        <w:rPr>
          <w:rFonts w:hint="eastAsia"/>
          <w:highlight w:val="none"/>
        </w:rPr>
        <w:t>最有吸引力的国外市场通常是在政治稳定且有自由市场体系的发达国家和发展中国家。（   ）</w:t>
      </w:r>
      <w:r>
        <w:rPr>
          <w:rFonts w:hint="eastAsia"/>
          <w:highlight w:val="none"/>
          <w:lang w:val="en-US" w:eastAsia="zh-CN"/>
        </w:rPr>
        <w:t xml:space="preserve">  </w:t>
      </w:r>
    </w:p>
    <w:p w14:paraId="55B459FE">
      <w:pPr>
        <w:pStyle w:val="11"/>
        <w:numPr>
          <w:ilvl w:val="0"/>
          <w:numId w:val="2"/>
        </w:numPr>
        <w:spacing w:line="300" w:lineRule="auto"/>
        <w:ind w:left="284" w:hanging="74" w:firstLineChars="0"/>
        <w:rPr>
          <w:highlight w:val="none"/>
        </w:rPr>
      </w:pPr>
      <w:r>
        <w:rPr>
          <w:rFonts w:hint="eastAsia"/>
          <w:highlight w:val="none"/>
        </w:rPr>
        <w:t>战略管理不是静态的、一次性的管理，而是循环的、往复性的动态管理过程。（  ）</w:t>
      </w:r>
      <w:r>
        <w:rPr>
          <w:rFonts w:hint="eastAsia"/>
          <w:highlight w:val="none"/>
          <w:lang w:val="en-US" w:eastAsia="zh-CN"/>
        </w:rPr>
        <w:t xml:space="preserve">  </w:t>
      </w:r>
    </w:p>
    <w:p w14:paraId="425D9DF3">
      <w:pPr>
        <w:pStyle w:val="11"/>
        <w:numPr>
          <w:ilvl w:val="0"/>
          <w:numId w:val="2"/>
        </w:numPr>
        <w:spacing w:line="300" w:lineRule="auto"/>
        <w:ind w:left="284" w:hanging="74" w:firstLineChars="0"/>
        <w:rPr>
          <w:highlight w:val="none"/>
        </w:rPr>
      </w:pPr>
      <w:r>
        <w:rPr>
          <w:rFonts w:hint="eastAsia"/>
          <w:highlight w:val="none"/>
        </w:rPr>
        <w:t>企业战略是以企业的局部为对象，根据企业近期发展的需要而制定的。（  ）</w:t>
      </w:r>
      <w:r>
        <w:rPr>
          <w:rFonts w:hint="eastAsia"/>
          <w:highlight w:val="none"/>
          <w:lang w:val="en-US" w:eastAsia="zh-CN"/>
        </w:rPr>
        <w:t xml:space="preserve">  </w:t>
      </w:r>
      <w:r>
        <w:rPr>
          <w:rFonts w:hint="eastAsia"/>
          <w:highlight w:val="none"/>
        </w:rPr>
        <w:t xml:space="preserve"> </w:t>
      </w:r>
    </w:p>
    <w:p w14:paraId="2F109D63">
      <w:pPr>
        <w:pStyle w:val="11"/>
        <w:numPr>
          <w:ilvl w:val="0"/>
          <w:numId w:val="2"/>
        </w:numPr>
        <w:spacing w:line="300" w:lineRule="auto"/>
        <w:ind w:left="284" w:hanging="74" w:firstLineChars="0"/>
        <w:rPr>
          <w:highlight w:val="none"/>
        </w:rPr>
      </w:pPr>
      <w:r>
        <w:rPr>
          <w:rFonts w:hint="eastAsia"/>
          <w:highlight w:val="none"/>
        </w:rPr>
        <w:t>同产业竞争对手之间的竞争强度是产业竞争结构、需求环境、成本环境、产业退出壁垒等的函数。（  ）</w:t>
      </w:r>
      <w:r>
        <w:rPr>
          <w:rFonts w:hint="eastAsia"/>
          <w:highlight w:val="none"/>
          <w:lang w:val="en-US" w:eastAsia="zh-CN"/>
        </w:rPr>
        <w:t xml:space="preserve">  </w:t>
      </w:r>
    </w:p>
    <w:p w14:paraId="0341FA8E">
      <w:pPr>
        <w:pStyle w:val="11"/>
        <w:numPr>
          <w:ilvl w:val="0"/>
          <w:numId w:val="2"/>
        </w:numPr>
        <w:spacing w:line="300" w:lineRule="auto"/>
        <w:ind w:left="284" w:hanging="74" w:firstLineChars="0"/>
        <w:rPr>
          <w:highlight w:val="none"/>
        </w:rPr>
      </w:pPr>
      <w:r>
        <w:rPr>
          <w:rFonts w:hint="eastAsia"/>
          <w:highlight w:val="none"/>
        </w:rPr>
        <w:t>战略管理只涉及战略的制定和规划，不包含将制定出的战略付诸实施的管理。（  ）</w:t>
      </w:r>
      <w:r>
        <w:rPr>
          <w:rFonts w:hint="eastAsia"/>
          <w:highlight w:val="none"/>
          <w:lang w:val="en-US" w:eastAsia="zh-CN"/>
        </w:rPr>
        <w:t xml:space="preserve">  </w:t>
      </w:r>
    </w:p>
    <w:p w14:paraId="4D64ED86">
      <w:pPr>
        <w:pStyle w:val="11"/>
        <w:numPr>
          <w:ilvl w:val="0"/>
          <w:numId w:val="2"/>
        </w:numPr>
        <w:spacing w:line="300" w:lineRule="auto"/>
        <w:ind w:left="284" w:hanging="74" w:firstLineChars="0"/>
        <w:rPr>
          <w:highlight w:val="none"/>
        </w:rPr>
      </w:pPr>
      <w:r>
        <w:rPr>
          <w:rFonts w:hint="eastAsia"/>
          <w:highlight w:val="none"/>
        </w:rPr>
        <w:t>战略群组分析有助于公司更好地理解竞争定位的动态性。（  ）</w:t>
      </w:r>
      <w:r>
        <w:rPr>
          <w:rFonts w:hint="eastAsia"/>
          <w:highlight w:val="none"/>
          <w:lang w:val="en-US" w:eastAsia="zh-CN"/>
        </w:rPr>
        <w:t xml:space="preserve">  </w:t>
      </w:r>
    </w:p>
    <w:p w14:paraId="3AE45406">
      <w:pPr>
        <w:pStyle w:val="11"/>
        <w:numPr>
          <w:ilvl w:val="0"/>
          <w:numId w:val="2"/>
        </w:numPr>
        <w:spacing w:line="300" w:lineRule="auto"/>
        <w:ind w:left="284" w:hanging="74" w:firstLineChars="0"/>
        <w:rPr>
          <w:highlight w:val="none"/>
        </w:rPr>
      </w:pPr>
      <w:r>
        <w:rPr>
          <w:rFonts w:hint="eastAsia"/>
          <w:highlight w:val="none"/>
        </w:rPr>
        <w:t>实施全球标准化战略的企业，面临较高的地区响应的压力，也面临较高的降低成本压力。</w:t>
      </w:r>
      <w:r>
        <w:rPr>
          <w:rFonts w:hint="eastAsia"/>
          <w:highlight w:val="none"/>
          <w:lang w:val="en-US" w:eastAsia="zh-CN"/>
        </w:rPr>
        <w:t xml:space="preserve">  </w:t>
      </w:r>
      <w:r>
        <w:rPr>
          <w:rFonts w:hint="eastAsia"/>
          <w:highlight w:val="none"/>
        </w:rPr>
        <w:t>（  ）</w:t>
      </w:r>
    </w:p>
    <w:p w14:paraId="37302963">
      <w:pPr>
        <w:pStyle w:val="11"/>
        <w:numPr>
          <w:ilvl w:val="0"/>
          <w:numId w:val="2"/>
        </w:numPr>
        <w:spacing w:line="300" w:lineRule="auto"/>
        <w:ind w:left="284" w:hanging="74" w:firstLineChars="0"/>
        <w:rPr>
          <w:highlight w:val="none"/>
        </w:rPr>
      </w:pPr>
      <w:r>
        <w:rPr>
          <w:highlight w:val="none"/>
        </w:rPr>
        <w:t>规模经济和学习效应时常同时发生，两者从本质而言没有差别。</w:t>
      </w:r>
      <w:r>
        <w:rPr>
          <w:rFonts w:hint="eastAsia"/>
          <w:highlight w:val="none"/>
        </w:rPr>
        <w:t>（  ）</w:t>
      </w:r>
      <w:r>
        <w:rPr>
          <w:rFonts w:hint="eastAsia"/>
          <w:highlight w:val="none"/>
          <w:lang w:val="en-US" w:eastAsia="zh-CN"/>
        </w:rPr>
        <w:t xml:space="preserve">  </w:t>
      </w:r>
    </w:p>
    <w:p w14:paraId="05C3638B">
      <w:pPr>
        <w:pStyle w:val="11"/>
        <w:numPr>
          <w:ilvl w:val="0"/>
          <w:numId w:val="2"/>
        </w:numPr>
        <w:spacing w:line="300" w:lineRule="auto"/>
        <w:ind w:left="284" w:hanging="74" w:firstLineChars="0"/>
        <w:rPr>
          <w:highlight w:val="none"/>
        </w:rPr>
      </w:pPr>
      <w:r>
        <w:rPr>
          <w:highlight w:val="none"/>
        </w:rPr>
        <w:t>企业愿景是企业战略家对企业前景和发展方向</w:t>
      </w:r>
      <w:r>
        <w:rPr>
          <w:rFonts w:hint="eastAsia"/>
          <w:highlight w:val="none"/>
        </w:rPr>
        <w:t>的</w:t>
      </w:r>
      <w:r>
        <w:rPr>
          <w:highlight w:val="none"/>
        </w:rPr>
        <w:t>高度概括</w:t>
      </w:r>
      <w:r>
        <w:rPr>
          <w:rFonts w:hint="eastAsia"/>
          <w:highlight w:val="none"/>
        </w:rPr>
        <w:t>性</w:t>
      </w:r>
      <w:r>
        <w:rPr>
          <w:highlight w:val="none"/>
        </w:rPr>
        <w:t>的描述。</w:t>
      </w:r>
      <w:r>
        <w:rPr>
          <w:rFonts w:hint="eastAsia"/>
          <w:highlight w:val="none"/>
        </w:rPr>
        <w:t>（  ）</w:t>
      </w:r>
      <w:r>
        <w:rPr>
          <w:rFonts w:hint="eastAsia"/>
          <w:highlight w:val="none"/>
          <w:lang w:val="en-US" w:eastAsia="zh-CN"/>
        </w:rPr>
        <w:t xml:space="preserve">  </w:t>
      </w:r>
    </w:p>
    <w:p w14:paraId="542B471D">
      <w:pPr>
        <w:pStyle w:val="11"/>
        <w:numPr>
          <w:ilvl w:val="0"/>
          <w:numId w:val="2"/>
        </w:numPr>
        <w:spacing w:line="300" w:lineRule="auto"/>
        <w:ind w:firstLineChars="0"/>
        <w:rPr>
          <w:highlight w:val="none"/>
        </w:rPr>
      </w:pPr>
      <w:r>
        <w:rPr>
          <w:rFonts w:hint="eastAsia"/>
          <w:highlight w:val="none"/>
        </w:rPr>
        <w:t>纵向一体化可以在行业内缓和竞争状态，以便降低价格战的风险。（  ）</w:t>
      </w:r>
      <w:r>
        <w:rPr>
          <w:rFonts w:hint="eastAsia"/>
          <w:highlight w:val="none"/>
          <w:lang w:val="en-US" w:eastAsia="zh-CN"/>
        </w:rPr>
        <w:t xml:space="preserve">  </w:t>
      </w:r>
    </w:p>
    <w:p w14:paraId="7B4188C3">
      <w:pPr>
        <w:pStyle w:val="11"/>
        <w:numPr>
          <w:ilvl w:val="0"/>
          <w:numId w:val="2"/>
        </w:numPr>
        <w:spacing w:line="300" w:lineRule="auto"/>
        <w:ind w:left="284" w:hanging="74" w:firstLineChars="0"/>
        <w:rPr>
          <w:highlight w:val="none"/>
        </w:rPr>
      </w:pPr>
      <w:r>
        <w:rPr>
          <w:rFonts w:hint="eastAsia"/>
          <w:highlight w:val="none"/>
        </w:rPr>
        <w:t xml:space="preserve">宏观环境分析的意义，是确认和评价政治、法律、经济、技术和社会等宏观因素对企业战略目标和战略选择的影响。（  ） </w:t>
      </w:r>
    </w:p>
    <w:p w14:paraId="40DBE536">
      <w:pPr>
        <w:pStyle w:val="11"/>
        <w:numPr>
          <w:ilvl w:val="0"/>
          <w:numId w:val="2"/>
        </w:numPr>
        <w:spacing w:line="300" w:lineRule="auto"/>
        <w:ind w:left="284" w:hanging="74" w:firstLineChars="0"/>
        <w:rPr>
          <w:highlight w:val="none"/>
        </w:rPr>
      </w:pPr>
      <w:r>
        <w:rPr>
          <w:rFonts w:hint="eastAsia"/>
          <w:highlight w:val="none"/>
        </w:rPr>
        <w:t xml:space="preserve">企业战略是以企业的局部为对象，根据企业近期发展的需要而制定的。（  ） </w:t>
      </w:r>
    </w:p>
    <w:p w14:paraId="658925FF">
      <w:pPr>
        <w:pStyle w:val="11"/>
        <w:numPr>
          <w:ilvl w:val="0"/>
          <w:numId w:val="2"/>
        </w:numPr>
        <w:spacing w:line="300" w:lineRule="auto"/>
        <w:ind w:left="284" w:hanging="74" w:firstLineChars="0"/>
        <w:rPr>
          <w:rFonts w:hint="eastAsia"/>
          <w:highlight w:val="none"/>
        </w:rPr>
      </w:pPr>
      <w:r>
        <w:rPr>
          <w:rFonts w:hint="eastAsia"/>
          <w:highlight w:val="none"/>
        </w:rPr>
        <w:t>新进入者威胁的状况取决于进入障碍和原有企业的反击程度。如果进入障碍高，原有企业激烈反击，潜在的进入者难以进入该行业，进入者威胁就小。（  ）</w:t>
      </w:r>
    </w:p>
    <w:p w14:paraId="0F5ADADB">
      <w:pPr>
        <w:pStyle w:val="11"/>
        <w:numPr>
          <w:ilvl w:val="0"/>
          <w:numId w:val="2"/>
        </w:numPr>
        <w:spacing w:line="300" w:lineRule="auto"/>
        <w:ind w:left="284" w:hanging="74" w:firstLineChars="0"/>
        <w:rPr>
          <w:highlight w:val="none"/>
        </w:rPr>
      </w:pPr>
      <w:r>
        <w:rPr>
          <w:rFonts w:hint="eastAsia"/>
          <w:highlight w:val="none"/>
        </w:rPr>
        <w:t xml:space="preserve">企业独特竞争能力的战略意义是，它使企业超越竞争对手并获得较大的利润。（  ） </w:t>
      </w:r>
    </w:p>
    <w:p w14:paraId="7DC9EA68">
      <w:pPr>
        <w:pStyle w:val="11"/>
        <w:numPr>
          <w:ilvl w:val="0"/>
          <w:numId w:val="2"/>
        </w:numPr>
        <w:spacing w:line="300" w:lineRule="auto"/>
        <w:ind w:left="284" w:hanging="74" w:firstLineChars="0"/>
        <w:rPr>
          <w:rFonts w:hint="eastAsia"/>
          <w:highlight w:val="none"/>
        </w:rPr>
      </w:pPr>
      <w:r>
        <w:rPr>
          <w:rFonts w:hint="eastAsia"/>
          <w:highlight w:val="none"/>
        </w:rPr>
        <w:t>战略管理只涉及战略的制定和规划，不包含将制定出的战略付诸实施的管理。（  ）</w:t>
      </w:r>
    </w:p>
    <w:p w14:paraId="2881B791">
      <w:pPr>
        <w:pStyle w:val="11"/>
        <w:numPr>
          <w:ilvl w:val="0"/>
          <w:numId w:val="2"/>
        </w:numPr>
        <w:spacing w:line="300" w:lineRule="auto"/>
        <w:ind w:left="284" w:hanging="74" w:firstLineChars="0"/>
        <w:rPr>
          <w:highlight w:val="none"/>
        </w:rPr>
      </w:pPr>
      <w:r>
        <w:rPr>
          <w:rFonts w:hint="eastAsia"/>
          <w:highlight w:val="none"/>
        </w:rPr>
        <w:t>战略群组分析有助于公司更好地理解竞争定位的动态性。（  ）</w:t>
      </w:r>
    </w:p>
    <w:p w14:paraId="6FDF0D10">
      <w:pPr>
        <w:pStyle w:val="11"/>
        <w:numPr>
          <w:ilvl w:val="0"/>
          <w:numId w:val="2"/>
        </w:numPr>
        <w:spacing w:line="300" w:lineRule="auto"/>
        <w:ind w:left="284" w:hanging="74" w:firstLineChars="0"/>
        <w:rPr>
          <w:highlight w:val="none"/>
        </w:rPr>
      </w:pPr>
      <w:r>
        <w:rPr>
          <w:rFonts w:hint="eastAsia"/>
          <w:highlight w:val="none"/>
        </w:rPr>
        <w:t>外部环境分析主要分析企业的机会和威胁，回答企业可以做什么的问题。（  ）</w:t>
      </w:r>
    </w:p>
    <w:p w14:paraId="0C6D15D4">
      <w:pPr>
        <w:pStyle w:val="11"/>
        <w:numPr>
          <w:ilvl w:val="0"/>
          <w:numId w:val="2"/>
        </w:numPr>
        <w:spacing w:line="300" w:lineRule="auto"/>
        <w:ind w:left="284" w:hanging="74" w:firstLineChars="0"/>
        <w:rPr>
          <w:highlight w:val="none"/>
        </w:rPr>
      </w:pPr>
      <w:r>
        <w:rPr>
          <w:rFonts w:hint="eastAsia"/>
          <w:highlight w:val="none"/>
        </w:rPr>
        <w:t>战略管理者是企业战略管理的主体，是企业内外部环境的分析者、企业战略制定者、战略实施领导者和组织者、战略实施过程的监督者和结果评价者。（  ）</w:t>
      </w:r>
    </w:p>
    <w:p w14:paraId="3CA3645A">
      <w:pPr>
        <w:pStyle w:val="11"/>
        <w:numPr>
          <w:ilvl w:val="0"/>
          <w:numId w:val="2"/>
        </w:numPr>
        <w:spacing w:line="300" w:lineRule="auto"/>
        <w:ind w:left="284" w:hanging="74" w:firstLineChars="0"/>
        <w:rPr>
          <w:highlight w:val="none"/>
        </w:rPr>
      </w:pPr>
      <w:r>
        <w:rPr>
          <w:rFonts w:hint="eastAsia"/>
          <w:highlight w:val="none"/>
        </w:rPr>
        <w:t>战略服从于组织结构，企业的组织结构的改变会导致企业战略的改变。（  ）</w:t>
      </w:r>
    </w:p>
    <w:p w14:paraId="1A1A5067">
      <w:pPr>
        <w:pStyle w:val="11"/>
        <w:spacing w:line="300" w:lineRule="auto"/>
        <w:ind w:left="210" w:leftChars="100" w:firstLine="0" w:firstLineChars="0"/>
        <w:rPr>
          <w:highlight w:val="none"/>
        </w:rPr>
      </w:pPr>
      <w:r>
        <w:rPr>
          <w:highlight w:val="none"/>
        </w:rPr>
        <w:t>2</w:t>
      </w:r>
      <w:r>
        <w:rPr>
          <w:rFonts w:hint="eastAsia"/>
          <w:highlight w:val="none"/>
        </w:rPr>
        <w:t>0. 最有吸引力的国外市场通常是在政治稳定且有自由市场体系的发达国家和发展中国家。（  ）</w:t>
      </w:r>
    </w:p>
    <w:p w14:paraId="53558185">
      <w:pPr>
        <w:spacing w:line="300" w:lineRule="auto"/>
        <w:rPr>
          <w:rFonts w:hint="eastAsia"/>
          <w:highlight w:val="none"/>
        </w:rPr>
      </w:pPr>
      <w:r>
        <w:rPr>
          <w:highlight w:val="none"/>
        </w:rPr>
        <w:t xml:space="preserve"> </w:t>
      </w:r>
    </w:p>
    <w:p w14:paraId="42E3D913">
      <w:pPr>
        <w:pStyle w:val="11"/>
        <w:numPr>
          <w:ilvl w:val="0"/>
          <w:numId w:val="1"/>
        </w:numPr>
        <w:spacing w:line="360" w:lineRule="auto"/>
        <w:ind w:left="482" w:hanging="482" w:firstLineChars="0"/>
        <w:rPr>
          <w:rFonts w:ascii="黑体" w:hAnsi="黑体" w:eastAsia="黑体"/>
          <w:sz w:val="24"/>
          <w:highlight w:val="none"/>
        </w:rPr>
      </w:pPr>
      <w:r>
        <w:rPr>
          <w:rFonts w:hint="eastAsia" w:ascii="黑体" w:hAnsi="黑体" w:eastAsia="黑体"/>
          <w:sz w:val="24"/>
          <w:highlight w:val="none"/>
        </w:rPr>
        <w:t>单项选择题</w:t>
      </w:r>
    </w:p>
    <w:p w14:paraId="32D61135">
      <w:pPr>
        <w:pStyle w:val="11"/>
        <w:spacing w:line="300" w:lineRule="auto"/>
        <w:ind w:left="150" w:firstLine="0" w:firstLineChars="0"/>
        <w:rPr>
          <w:highlight w:val="none"/>
        </w:rPr>
      </w:pPr>
      <w:r>
        <w:rPr>
          <w:rFonts w:hint="eastAsia"/>
          <w:highlight w:val="none"/>
        </w:rPr>
        <w:t xml:space="preserve"> 1. 经济环境属于企业的（ </w:t>
      </w:r>
      <w:r>
        <w:rPr>
          <w:rFonts w:hint="eastAsia"/>
          <w:highlight w:val="none"/>
          <w:lang w:val="en-US" w:eastAsia="zh-CN"/>
        </w:rPr>
        <w:t xml:space="preserve">  </w:t>
      </w:r>
      <w:r>
        <w:rPr>
          <w:rFonts w:hint="eastAsia"/>
          <w:highlight w:val="none"/>
        </w:rPr>
        <w:t xml:space="preserve"> ）</w:t>
      </w:r>
    </w:p>
    <w:p w14:paraId="454D30C9">
      <w:pPr>
        <w:spacing w:line="300" w:lineRule="auto"/>
        <w:ind w:firstLine="630" w:firstLineChars="300"/>
        <w:rPr>
          <w:highlight w:val="none"/>
        </w:rPr>
      </w:pPr>
      <w:r>
        <w:rPr>
          <w:rFonts w:hint="eastAsia"/>
          <w:highlight w:val="none"/>
        </w:rPr>
        <w:t xml:space="preserve">A. 微观环境   </w:t>
      </w:r>
      <w:r>
        <w:rPr>
          <w:rFonts w:hint="eastAsia"/>
          <w:highlight w:val="none"/>
        </w:rPr>
        <w:tab/>
      </w:r>
      <w:r>
        <w:rPr>
          <w:rFonts w:hint="eastAsia"/>
          <w:highlight w:val="none"/>
        </w:rPr>
        <w:t xml:space="preserve">B. 中观环境      C. 宏观环境  </w:t>
      </w:r>
      <w:r>
        <w:rPr>
          <w:rFonts w:hint="eastAsia"/>
          <w:highlight w:val="none"/>
        </w:rPr>
        <w:tab/>
      </w:r>
      <w:r>
        <w:rPr>
          <w:rFonts w:hint="eastAsia"/>
          <w:highlight w:val="none"/>
        </w:rPr>
        <w:t xml:space="preserve">D. 企业内部条件                                                              </w:t>
      </w:r>
    </w:p>
    <w:p w14:paraId="44F65F91">
      <w:pPr>
        <w:pStyle w:val="11"/>
        <w:spacing w:line="300" w:lineRule="auto"/>
        <w:ind w:left="150" w:firstLine="0" w:firstLineChars="0"/>
        <w:rPr>
          <w:highlight w:val="none"/>
        </w:rPr>
      </w:pPr>
      <w:r>
        <w:rPr>
          <w:rFonts w:hint="eastAsia"/>
          <w:highlight w:val="none"/>
        </w:rPr>
        <w:t xml:space="preserve"> 2. 企业价值观属于（ </w:t>
      </w:r>
      <w:r>
        <w:rPr>
          <w:rFonts w:hint="eastAsia"/>
          <w:highlight w:val="none"/>
          <w:lang w:val="en-US" w:eastAsia="zh-CN"/>
        </w:rPr>
        <w:t xml:space="preserve">  </w:t>
      </w:r>
      <w:r>
        <w:rPr>
          <w:rFonts w:hint="eastAsia"/>
          <w:highlight w:val="none"/>
        </w:rPr>
        <w:t xml:space="preserve"> ）</w:t>
      </w:r>
    </w:p>
    <w:p w14:paraId="450719C5">
      <w:pPr>
        <w:spacing w:line="300" w:lineRule="auto"/>
        <w:ind w:firstLine="630" w:firstLineChars="300"/>
        <w:rPr>
          <w:highlight w:val="none"/>
        </w:rPr>
      </w:pPr>
      <w:r>
        <w:rPr>
          <w:rFonts w:hint="eastAsia"/>
          <w:highlight w:val="none"/>
        </w:rPr>
        <w:t xml:space="preserve">A. 精神层文化　　　B. 行为层文化    C. 制度层文化　　D. 形象层文化                           </w:t>
      </w:r>
    </w:p>
    <w:p w14:paraId="13B66267">
      <w:pPr>
        <w:pStyle w:val="11"/>
        <w:spacing w:line="300" w:lineRule="auto"/>
        <w:ind w:left="150" w:firstLine="0" w:firstLineChars="0"/>
        <w:rPr>
          <w:highlight w:val="none"/>
        </w:rPr>
      </w:pPr>
      <w:r>
        <w:rPr>
          <w:rFonts w:hint="eastAsia"/>
          <w:highlight w:val="none"/>
        </w:rPr>
        <w:t xml:space="preserve"> 3. 企业愿景与企业使命的区别在于（ </w:t>
      </w:r>
      <w:r>
        <w:rPr>
          <w:rFonts w:hint="eastAsia"/>
          <w:highlight w:val="none"/>
          <w:lang w:val="en-US" w:eastAsia="zh-CN"/>
        </w:rPr>
        <w:t xml:space="preserve">  </w:t>
      </w:r>
      <w:r>
        <w:rPr>
          <w:rFonts w:hint="eastAsia"/>
          <w:highlight w:val="none"/>
        </w:rPr>
        <w:t xml:space="preserve"> ）                               </w:t>
      </w:r>
    </w:p>
    <w:p w14:paraId="5025994E">
      <w:pPr>
        <w:spacing w:line="300" w:lineRule="auto"/>
        <w:ind w:firstLine="630" w:firstLineChars="300"/>
        <w:rPr>
          <w:highlight w:val="none"/>
        </w:rPr>
      </w:pPr>
      <w:r>
        <w:rPr>
          <w:rFonts w:hint="eastAsia"/>
          <w:highlight w:val="none"/>
        </w:rPr>
        <w:t>A. 愿景考虑未来的方向，使命考虑目前的状况</w:t>
      </w:r>
    </w:p>
    <w:p w14:paraId="382BA02D">
      <w:pPr>
        <w:spacing w:line="300" w:lineRule="auto"/>
        <w:ind w:firstLine="630" w:firstLineChars="300"/>
        <w:rPr>
          <w:highlight w:val="none"/>
        </w:rPr>
      </w:pPr>
      <w:r>
        <w:rPr>
          <w:rFonts w:hint="eastAsia"/>
          <w:highlight w:val="none"/>
        </w:rPr>
        <w:t xml:space="preserve">B. 愿景考虑企业的发展方向，使命考虑企业的业务状况        </w:t>
      </w:r>
    </w:p>
    <w:p w14:paraId="6893BD00">
      <w:pPr>
        <w:spacing w:line="300" w:lineRule="auto"/>
        <w:ind w:firstLine="630" w:firstLineChars="300"/>
        <w:rPr>
          <w:highlight w:val="none"/>
        </w:rPr>
      </w:pPr>
      <w:r>
        <w:rPr>
          <w:rFonts w:hint="eastAsia"/>
          <w:highlight w:val="none"/>
        </w:rPr>
        <w:t>C. 愿景考虑未来的业务，使命考虑目前的业务</w:t>
      </w:r>
    </w:p>
    <w:p w14:paraId="59B31D30">
      <w:pPr>
        <w:spacing w:line="300" w:lineRule="auto"/>
        <w:ind w:firstLine="630" w:firstLineChars="300"/>
        <w:rPr>
          <w:highlight w:val="none"/>
        </w:rPr>
      </w:pPr>
      <w:r>
        <w:rPr>
          <w:rFonts w:hint="eastAsia"/>
          <w:highlight w:val="none"/>
        </w:rPr>
        <w:t>D. 愿景考虑企业价值，使命考虑企业文化</w:t>
      </w:r>
    </w:p>
    <w:p w14:paraId="0C1AC03D">
      <w:pPr>
        <w:pStyle w:val="11"/>
        <w:spacing w:line="300" w:lineRule="auto"/>
        <w:ind w:left="150" w:firstLine="0" w:firstLineChars="0"/>
        <w:rPr>
          <w:highlight w:val="none"/>
        </w:rPr>
      </w:pPr>
      <w:r>
        <w:rPr>
          <w:rFonts w:hint="eastAsia"/>
          <w:highlight w:val="none"/>
        </w:rPr>
        <w:t xml:space="preserve"> 4. 以企业初始生产经营的产品（业务）项目为基准，企业生产经营范围的扩展沿其生产经营 链条向前延伸，使企业的业务活动更加接近最终用户的发展战略，是（ </w:t>
      </w:r>
      <w:r>
        <w:rPr>
          <w:rFonts w:hint="eastAsia"/>
          <w:highlight w:val="none"/>
          <w:lang w:val="en-US" w:eastAsia="zh-CN"/>
        </w:rPr>
        <w:t xml:space="preserve">  </w:t>
      </w:r>
      <w:r>
        <w:rPr>
          <w:rFonts w:hint="eastAsia"/>
          <w:highlight w:val="none"/>
        </w:rPr>
        <w:t xml:space="preserve"> ）           </w:t>
      </w:r>
    </w:p>
    <w:p w14:paraId="6BF22B80">
      <w:pPr>
        <w:spacing w:line="300" w:lineRule="auto"/>
        <w:ind w:firstLine="630" w:firstLineChars="300"/>
        <w:rPr>
          <w:highlight w:val="none"/>
        </w:rPr>
      </w:pPr>
      <w:r>
        <w:rPr>
          <w:rFonts w:hint="eastAsia"/>
          <w:highlight w:val="none"/>
        </w:rPr>
        <w:t>A.水平一体化发展战略</w:t>
      </w:r>
      <w:r>
        <w:rPr>
          <w:rFonts w:hint="eastAsia"/>
          <w:highlight w:val="none"/>
        </w:rPr>
        <w:tab/>
      </w:r>
      <w:r>
        <w:rPr>
          <w:rFonts w:hint="eastAsia"/>
          <w:highlight w:val="none"/>
        </w:rPr>
        <w:t xml:space="preserve">                 B.前向一体化发展战略</w:t>
      </w:r>
    </w:p>
    <w:p w14:paraId="6204D8A0">
      <w:pPr>
        <w:spacing w:line="300" w:lineRule="auto"/>
        <w:ind w:firstLine="630" w:firstLineChars="300"/>
        <w:rPr>
          <w:highlight w:val="none"/>
        </w:rPr>
      </w:pPr>
      <w:r>
        <w:rPr>
          <w:rFonts w:hint="eastAsia"/>
          <w:highlight w:val="none"/>
        </w:rPr>
        <w:t>C.后向一体化发展战略</w:t>
      </w:r>
      <w:r>
        <w:rPr>
          <w:rFonts w:hint="eastAsia"/>
          <w:highlight w:val="none"/>
        </w:rPr>
        <w:tab/>
      </w:r>
      <w:r>
        <w:rPr>
          <w:rFonts w:hint="eastAsia"/>
          <w:highlight w:val="none"/>
        </w:rPr>
        <w:t xml:space="preserve">                 D.双向一体化发展战略                                          </w:t>
      </w:r>
    </w:p>
    <w:p w14:paraId="0492BCAE">
      <w:pPr>
        <w:pStyle w:val="11"/>
        <w:spacing w:line="300" w:lineRule="auto"/>
        <w:ind w:left="150" w:firstLine="0" w:firstLineChars="0"/>
        <w:rPr>
          <w:highlight w:val="none"/>
        </w:rPr>
      </w:pPr>
      <w:r>
        <w:rPr>
          <w:rFonts w:hint="eastAsia"/>
          <w:highlight w:val="none"/>
        </w:rPr>
        <w:t xml:space="preserve"> 5. 价值链活动（ </w:t>
      </w:r>
      <w:r>
        <w:rPr>
          <w:rFonts w:hint="eastAsia"/>
          <w:highlight w:val="none"/>
          <w:lang w:val="en-US" w:eastAsia="zh-CN"/>
        </w:rPr>
        <w:t xml:space="preserve">  </w:t>
      </w:r>
      <w:r>
        <w:rPr>
          <w:rFonts w:hint="eastAsia"/>
          <w:highlight w:val="none"/>
        </w:rPr>
        <w:t xml:space="preserve"> ）                                                    </w:t>
      </w:r>
    </w:p>
    <w:p w14:paraId="29F6AAE5">
      <w:pPr>
        <w:spacing w:line="300" w:lineRule="auto"/>
        <w:ind w:firstLine="630" w:firstLineChars="300"/>
        <w:rPr>
          <w:highlight w:val="none"/>
        </w:rPr>
      </w:pPr>
      <w:r>
        <w:rPr>
          <w:rFonts w:hint="eastAsia"/>
          <w:highlight w:val="none"/>
        </w:rPr>
        <w:t>A.能被划分成基本活动和辅助活动</w:t>
      </w:r>
    </w:p>
    <w:p w14:paraId="058E2F68">
      <w:pPr>
        <w:spacing w:line="300" w:lineRule="auto"/>
        <w:ind w:firstLine="630" w:firstLineChars="300"/>
        <w:rPr>
          <w:highlight w:val="none"/>
        </w:rPr>
      </w:pPr>
      <w:r>
        <w:rPr>
          <w:rFonts w:hint="eastAsia"/>
          <w:highlight w:val="none"/>
        </w:rPr>
        <w:t>B.能被分析，但对公司竞争优势建立作用不大</w:t>
      </w:r>
    </w:p>
    <w:p w14:paraId="4E7039AF">
      <w:pPr>
        <w:spacing w:line="300" w:lineRule="auto"/>
        <w:ind w:firstLine="630" w:firstLineChars="300"/>
        <w:rPr>
          <w:highlight w:val="none"/>
        </w:rPr>
      </w:pPr>
      <w:r>
        <w:rPr>
          <w:rFonts w:hint="eastAsia"/>
          <w:highlight w:val="none"/>
        </w:rPr>
        <w:t>C.能被划分成资源和能力</w:t>
      </w:r>
      <w:r>
        <w:rPr>
          <w:rFonts w:hint="eastAsia"/>
          <w:highlight w:val="none"/>
        </w:rPr>
        <w:tab/>
      </w:r>
      <w:r>
        <w:rPr>
          <w:rFonts w:hint="eastAsia"/>
          <w:highlight w:val="none"/>
        </w:rPr>
        <w:t xml:space="preserve">                 </w:t>
      </w:r>
    </w:p>
    <w:p w14:paraId="49A44E6F">
      <w:pPr>
        <w:spacing w:line="300" w:lineRule="auto"/>
        <w:ind w:firstLine="630" w:firstLineChars="300"/>
        <w:rPr>
          <w:highlight w:val="none"/>
        </w:rPr>
      </w:pPr>
      <w:r>
        <w:rPr>
          <w:rFonts w:hint="eastAsia"/>
          <w:highlight w:val="none"/>
        </w:rPr>
        <w:t>D.仅适用于盈利的公司</w:t>
      </w:r>
    </w:p>
    <w:p w14:paraId="48642DEC">
      <w:pPr>
        <w:pStyle w:val="11"/>
        <w:spacing w:line="300" w:lineRule="auto"/>
        <w:ind w:left="150" w:firstLine="0" w:firstLineChars="0"/>
        <w:rPr>
          <w:highlight w:val="none"/>
        </w:rPr>
      </w:pPr>
      <w:r>
        <w:rPr>
          <w:rFonts w:hint="eastAsia"/>
          <w:highlight w:val="none"/>
        </w:rPr>
        <w:t xml:space="preserve"> 6. 两个企业为了某个目标，达成战略同盟，一致同意成立一个自主经营且独立的组织，这可以被称为（</w:t>
      </w:r>
      <w:r>
        <w:rPr>
          <w:rFonts w:hint="eastAsia"/>
          <w:highlight w:val="none"/>
          <w:lang w:val="en-US" w:eastAsia="zh-CN"/>
        </w:rPr>
        <w:t xml:space="preserve">  </w:t>
      </w:r>
      <w:r>
        <w:rPr>
          <w:rFonts w:hint="eastAsia"/>
          <w:highlight w:val="none"/>
        </w:rPr>
        <w:t xml:space="preserve">  ）</w:t>
      </w:r>
    </w:p>
    <w:p w14:paraId="0A5CB01B">
      <w:pPr>
        <w:spacing w:line="300" w:lineRule="auto"/>
        <w:ind w:firstLine="630" w:firstLineChars="300"/>
        <w:rPr>
          <w:highlight w:val="none"/>
        </w:rPr>
      </w:pPr>
      <w:r>
        <w:rPr>
          <w:rFonts w:hint="eastAsia"/>
          <w:highlight w:val="none"/>
        </w:rPr>
        <w:t>A．许可证经营协定    　B. 外国子公司      C．合资企业      D. 特许经营</w:t>
      </w:r>
    </w:p>
    <w:p w14:paraId="52DD5426">
      <w:pPr>
        <w:pStyle w:val="11"/>
        <w:spacing w:line="300" w:lineRule="auto"/>
        <w:ind w:left="150" w:firstLine="0" w:firstLineChars="0"/>
        <w:rPr>
          <w:highlight w:val="none"/>
        </w:rPr>
      </w:pPr>
      <w:r>
        <w:rPr>
          <w:rFonts w:hint="eastAsia"/>
          <w:highlight w:val="none"/>
        </w:rPr>
        <w:t xml:space="preserve"> 7. 分散性行业存在于许多经济领域中，如服务业、零售业、批发业、农产品加工业等，分散性行业由什么构成（ </w:t>
      </w:r>
      <w:r>
        <w:rPr>
          <w:rFonts w:hint="eastAsia"/>
          <w:highlight w:val="none"/>
          <w:lang w:val="en-US" w:eastAsia="zh-CN"/>
        </w:rPr>
        <w:t xml:space="preserve">  </w:t>
      </w:r>
      <w:r>
        <w:rPr>
          <w:rFonts w:hint="eastAsia"/>
          <w:highlight w:val="none"/>
        </w:rPr>
        <w:t xml:space="preserve"> ）   </w:t>
      </w:r>
    </w:p>
    <w:p w14:paraId="7F43FED8">
      <w:pPr>
        <w:spacing w:line="300" w:lineRule="auto"/>
        <w:ind w:firstLine="630" w:firstLineChars="300"/>
        <w:rPr>
          <w:highlight w:val="none"/>
        </w:rPr>
      </w:pPr>
      <w:r>
        <w:rPr>
          <w:rFonts w:hint="eastAsia"/>
          <w:highlight w:val="none"/>
        </w:rPr>
        <w:t>A．很多中小企业     B．很多大企业    C．较少大企业     D．很多大中型企业</w:t>
      </w:r>
    </w:p>
    <w:p w14:paraId="46277ED9">
      <w:pPr>
        <w:pStyle w:val="11"/>
        <w:spacing w:line="300" w:lineRule="auto"/>
        <w:ind w:left="150" w:firstLine="0" w:firstLineChars="0"/>
        <w:rPr>
          <w:highlight w:val="none"/>
        </w:rPr>
      </w:pPr>
      <w:r>
        <w:rPr>
          <w:rFonts w:hint="eastAsia"/>
          <w:highlight w:val="none"/>
        </w:rPr>
        <w:t xml:space="preserve"> 8. 实施成本领先战略的关键在于（ </w:t>
      </w:r>
      <w:r>
        <w:rPr>
          <w:rFonts w:hint="eastAsia"/>
          <w:highlight w:val="none"/>
          <w:lang w:val="en-US" w:eastAsia="zh-CN"/>
        </w:rPr>
        <w:t xml:space="preserve">  </w:t>
      </w:r>
      <w:r>
        <w:rPr>
          <w:rFonts w:hint="eastAsia"/>
          <w:highlight w:val="none"/>
        </w:rPr>
        <w:t xml:space="preserve"> ）      </w:t>
      </w:r>
    </w:p>
    <w:p w14:paraId="0905ABF5">
      <w:pPr>
        <w:spacing w:line="300" w:lineRule="auto"/>
        <w:ind w:firstLine="630" w:firstLineChars="300"/>
        <w:rPr>
          <w:highlight w:val="none"/>
        </w:rPr>
      </w:pPr>
      <w:r>
        <w:rPr>
          <w:rFonts w:hint="eastAsia"/>
          <w:highlight w:val="none"/>
        </w:rPr>
        <w:t>A．产品独特化      B．产品多样化     C．产品标准化     D．市场细分化</w:t>
      </w:r>
    </w:p>
    <w:p w14:paraId="6D135680">
      <w:pPr>
        <w:pStyle w:val="11"/>
        <w:spacing w:line="300" w:lineRule="auto"/>
        <w:ind w:left="150" w:firstLine="0" w:firstLineChars="0"/>
        <w:rPr>
          <w:highlight w:val="none"/>
        </w:rPr>
      </w:pPr>
      <w:r>
        <w:rPr>
          <w:rFonts w:hint="eastAsia"/>
          <w:highlight w:val="none"/>
        </w:rPr>
        <w:t xml:space="preserve"> 9. 下列哪项是企业的间接利益相关者（ </w:t>
      </w:r>
      <w:r>
        <w:rPr>
          <w:rFonts w:hint="eastAsia"/>
          <w:highlight w:val="none"/>
          <w:lang w:val="en-US" w:eastAsia="zh-CN"/>
        </w:rPr>
        <w:t xml:space="preserve">  </w:t>
      </w:r>
      <w:r>
        <w:rPr>
          <w:rFonts w:hint="eastAsia"/>
          <w:highlight w:val="none"/>
        </w:rPr>
        <w:t xml:space="preserve"> ）     </w:t>
      </w:r>
    </w:p>
    <w:p w14:paraId="7B3C06F1">
      <w:pPr>
        <w:spacing w:line="300" w:lineRule="auto"/>
        <w:ind w:firstLine="630" w:firstLineChars="300"/>
        <w:rPr>
          <w:highlight w:val="none"/>
        </w:rPr>
      </w:pPr>
      <w:r>
        <w:rPr>
          <w:rFonts w:hint="eastAsia"/>
          <w:highlight w:val="none"/>
        </w:rPr>
        <w:t>A．</w:t>
      </w:r>
      <w:r>
        <w:rPr>
          <w:rFonts w:hint="eastAsia"/>
          <w:highlight w:val="none"/>
        </w:rPr>
        <w:tab/>
      </w:r>
      <w:r>
        <w:rPr>
          <w:rFonts w:hint="eastAsia"/>
          <w:highlight w:val="none"/>
        </w:rPr>
        <w:t>股东            B．员工           C．社区         D．消费者</w:t>
      </w:r>
    </w:p>
    <w:p w14:paraId="28412333">
      <w:pPr>
        <w:pStyle w:val="11"/>
        <w:spacing w:line="300" w:lineRule="auto"/>
        <w:ind w:left="150" w:firstLine="0" w:firstLineChars="0"/>
        <w:rPr>
          <w:highlight w:val="none"/>
        </w:rPr>
      </w:pPr>
      <w:r>
        <w:rPr>
          <w:rFonts w:hint="eastAsia"/>
          <w:highlight w:val="none"/>
        </w:rPr>
        <w:t xml:space="preserve"> 10. 外部环境的社会文化部分包括（ </w:t>
      </w:r>
      <w:r>
        <w:rPr>
          <w:rFonts w:hint="eastAsia"/>
          <w:highlight w:val="none"/>
          <w:lang w:val="en-US" w:eastAsia="zh-CN"/>
        </w:rPr>
        <w:t xml:space="preserve">  </w:t>
      </w:r>
      <w:r>
        <w:rPr>
          <w:rFonts w:hint="eastAsia"/>
          <w:highlight w:val="none"/>
        </w:rPr>
        <w:t xml:space="preserve"> ）</w:t>
      </w:r>
    </w:p>
    <w:p w14:paraId="38AD94B5">
      <w:pPr>
        <w:spacing w:line="300" w:lineRule="auto"/>
        <w:ind w:firstLine="630" w:firstLineChars="300"/>
        <w:rPr>
          <w:highlight w:val="none"/>
        </w:rPr>
      </w:pPr>
      <w:r>
        <w:rPr>
          <w:rFonts w:hint="eastAsia"/>
          <w:highlight w:val="none"/>
        </w:rPr>
        <w:t>A. 可支配收入的变化              B. 顾客的价值观和品味</w:t>
      </w:r>
    </w:p>
    <w:p w14:paraId="4C99A49D">
      <w:pPr>
        <w:spacing w:line="300" w:lineRule="auto"/>
        <w:ind w:firstLine="630" w:firstLineChars="300"/>
        <w:rPr>
          <w:highlight w:val="none"/>
        </w:rPr>
      </w:pPr>
      <w:r>
        <w:rPr>
          <w:rFonts w:hint="eastAsia"/>
          <w:highlight w:val="none"/>
        </w:rPr>
        <w:t>C. 立法者对商业的态度            D. 技术的普及和应用</w:t>
      </w:r>
    </w:p>
    <w:p w14:paraId="2CCDC33C">
      <w:pPr>
        <w:spacing w:line="300" w:lineRule="auto"/>
        <w:rPr>
          <w:highlight w:val="none"/>
        </w:rPr>
      </w:pPr>
      <w:r>
        <w:rPr>
          <w:rFonts w:hint="eastAsia"/>
          <w:highlight w:val="none"/>
        </w:rPr>
        <w:t xml:space="preserve"> </w:t>
      </w:r>
      <w:r>
        <w:rPr>
          <w:highlight w:val="none"/>
        </w:rPr>
        <w:t xml:space="preserve">  11.</w:t>
      </w:r>
      <w:r>
        <w:rPr>
          <w:rFonts w:hint="eastAsia"/>
          <w:highlight w:val="none"/>
        </w:rPr>
        <w:t xml:space="preserve">美国艾维斯汽车租赁公司提出“我们希望成为汽车租赁业中发展最快、利润最多的公司”，这个口号表明了该公司的（  ）                                              </w:t>
      </w:r>
    </w:p>
    <w:p w14:paraId="2AFB2B68">
      <w:pPr>
        <w:pStyle w:val="11"/>
        <w:numPr>
          <w:ilvl w:val="0"/>
          <w:numId w:val="3"/>
        </w:numPr>
        <w:spacing w:line="300" w:lineRule="auto"/>
        <w:ind w:firstLineChars="0"/>
        <w:rPr>
          <w:highlight w:val="none"/>
        </w:rPr>
      </w:pPr>
      <w:r>
        <w:rPr>
          <w:rFonts w:hint="eastAsia"/>
          <w:highlight w:val="none"/>
        </w:rPr>
        <w:t xml:space="preserve">经营战略          B．经营哲学        C．社会责任       D．企业愿景                                                         </w:t>
      </w:r>
    </w:p>
    <w:p w14:paraId="6806F1BA">
      <w:pPr>
        <w:pStyle w:val="11"/>
        <w:spacing w:line="300" w:lineRule="auto"/>
        <w:ind w:left="210" w:firstLine="0" w:firstLineChars="0"/>
        <w:rPr>
          <w:highlight w:val="none"/>
        </w:rPr>
      </w:pPr>
      <w:r>
        <w:rPr>
          <w:highlight w:val="none"/>
        </w:rPr>
        <w:t>12</w:t>
      </w:r>
      <w:r>
        <w:rPr>
          <w:rFonts w:hint="eastAsia"/>
          <w:highlight w:val="none"/>
        </w:rPr>
        <w:t xml:space="preserve">企业战略规定企业的总体行动，追求企业的总体效果，它反映了经营战略的哪项特征（  ）                           </w:t>
      </w:r>
    </w:p>
    <w:p w14:paraId="6E1ED7F9">
      <w:pPr>
        <w:pStyle w:val="11"/>
        <w:numPr>
          <w:ilvl w:val="0"/>
          <w:numId w:val="4"/>
        </w:numPr>
        <w:spacing w:line="300" w:lineRule="auto"/>
        <w:ind w:firstLineChars="0"/>
        <w:rPr>
          <w:highlight w:val="none"/>
        </w:rPr>
      </w:pPr>
      <w:r>
        <w:rPr>
          <w:rFonts w:hint="eastAsia"/>
          <w:highlight w:val="none"/>
        </w:rPr>
        <w:t>全局性</w:t>
      </w:r>
      <w:r>
        <w:rPr>
          <w:rFonts w:hint="eastAsia"/>
          <w:highlight w:val="none"/>
        </w:rPr>
        <w:tab/>
      </w:r>
      <w:r>
        <w:rPr>
          <w:rFonts w:hint="eastAsia"/>
          <w:highlight w:val="none"/>
        </w:rPr>
        <w:t xml:space="preserve">          B.长远性</w:t>
      </w:r>
      <w:r>
        <w:rPr>
          <w:rFonts w:hint="eastAsia"/>
          <w:highlight w:val="none"/>
        </w:rPr>
        <w:tab/>
      </w:r>
      <w:r>
        <w:rPr>
          <w:rFonts w:hint="eastAsia"/>
          <w:highlight w:val="none"/>
        </w:rPr>
        <w:t xml:space="preserve">         C.纲领性</w:t>
      </w:r>
      <w:r>
        <w:rPr>
          <w:rFonts w:hint="eastAsia"/>
          <w:highlight w:val="none"/>
        </w:rPr>
        <w:tab/>
      </w:r>
      <w:r>
        <w:rPr>
          <w:rFonts w:hint="eastAsia"/>
          <w:highlight w:val="none"/>
        </w:rPr>
        <w:t xml:space="preserve">       D.抗争性</w:t>
      </w:r>
    </w:p>
    <w:p w14:paraId="5397A9B5">
      <w:pPr>
        <w:spacing w:line="300" w:lineRule="auto"/>
        <w:ind w:left="210"/>
        <w:rPr>
          <w:highlight w:val="none"/>
        </w:rPr>
      </w:pPr>
      <w:r>
        <w:rPr>
          <w:rFonts w:hint="eastAsia"/>
          <w:highlight w:val="none"/>
        </w:rPr>
        <w:t>1</w:t>
      </w:r>
      <w:r>
        <w:rPr>
          <w:highlight w:val="none"/>
        </w:rPr>
        <w:t>3</w:t>
      </w:r>
      <w:r>
        <w:rPr>
          <w:rFonts w:hint="eastAsia"/>
          <w:highlight w:val="none"/>
        </w:rPr>
        <w:t xml:space="preserve">迈索尼公司能够设计、制造和销售微型电子技术产品，这个例子反映了企业的什么能力（  ）                               </w:t>
      </w:r>
    </w:p>
    <w:p w14:paraId="00B24B27">
      <w:pPr>
        <w:spacing w:line="300" w:lineRule="auto"/>
        <w:ind w:left="284" w:firstLine="210" w:firstLineChars="100"/>
        <w:rPr>
          <w:highlight w:val="none"/>
        </w:rPr>
      </w:pPr>
      <w:r>
        <w:rPr>
          <w:rFonts w:hint="eastAsia"/>
          <w:highlight w:val="none"/>
        </w:rPr>
        <w:t xml:space="preserve">A. 核心 </w:t>
      </w:r>
      <w:r>
        <w:rPr>
          <w:rFonts w:hint="eastAsia"/>
          <w:highlight w:val="none"/>
        </w:rPr>
        <w:tab/>
      </w:r>
      <w:r>
        <w:rPr>
          <w:rFonts w:hint="eastAsia"/>
          <w:highlight w:val="none"/>
        </w:rPr>
        <w:tab/>
      </w:r>
      <w:r>
        <w:rPr>
          <w:rFonts w:hint="eastAsia"/>
          <w:highlight w:val="none"/>
        </w:rPr>
        <w:tab/>
      </w:r>
      <w:r>
        <w:rPr>
          <w:rFonts w:hint="eastAsia"/>
          <w:highlight w:val="none"/>
        </w:rPr>
        <w:t xml:space="preserve">  B. 稀缺            C. 可模仿 </w:t>
      </w:r>
      <w:r>
        <w:rPr>
          <w:rFonts w:hint="eastAsia"/>
          <w:highlight w:val="none"/>
        </w:rPr>
        <w:tab/>
      </w:r>
      <w:r>
        <w:rPr>
          <w:rFonts w:hint="eastAsia"/>
          <w:highlight w:val="none"/>
        </w:rPr>
        <w:tab/>
      </w:r>
      <w:r>
        <w:rPr>
          <w:rFonts w:hint="eastAsia"/>
          <w:highlight w:val="none"/>
        </w:rPr>
        <w:t xml:space="preserve">   D. 不可替代</w:t>
      </w:r>
    </w:p>
    <w:p w14:paraId="0A04F894">
      <w:pPr>
        <w:spacing w:line="300" w:lineRule="auto"/>
        <w:ind w:left="210"/>
        <w:rPr>
          <w:rFonts w:ascii="宋体" w:hAnsi="宋体"/>
          <w:bCs/>
          <w:highlight w:val="none"/>
        </w:rPr>
      </w:pPr>
      <w:r>
        <w:rPr>
          <w:rFonts w:hint="eastAsia"/>
          <w:highlight w:val="none"/>
        </w:rPr>
        <w:t>1</w:t>
      </w:r>
      <w:r>
        <w:rPr>
          <w:highlight w:val="none"/>
        </w:rPr>
        <w:t>4</w:t>
      </w:r>
      <w:r>
        <w:rPr>
          <w:rFonts w:hint="eastAsia"/>
          <w:highlight w:val="none"/>
        </w:rPr>
        <w:t>与处于相同行业、生产同类产品或工艺相近的企业实现联合，实现扩大规模、降低产品成本、巩固市场地位的发展战略，是（  ）</w:t>
      </w:r>
      <w:r>
        <w:rPr>
          <w:rFonts w:hint="eastAsia" w:ascii="宋体" w:hAnsi="宋体"/>
          <w:bCs/>
          <w:highlight w:val="none"/>
        </w:rPr>
        <w:t xml:space="preserve">                                     </w:t>
      </w:r>
    </w:p>
    <w:p w14:paraId="3D3194DA">
      <w:pPr>
        <w:spacing w:line="300" w:lineRule="auto"/>
        <w:ind w:left="284" w:firstLine="210" w:firstLineChars="100"/>
        <w:rPr>
          <w:highlight w:val="none"/>
        </w:rPr>
      </w:pPr>
      <w:r>
        <w:rPr>
          <w:rFonts w:hint="eastAsia"/>
          <w:highlight w:val="none"/>
        </w:rPr>
        <w:t>A.水平一体化发展战略</w:t>
      </w:r>
      <w:r>
        <w:rPr>
          <w:rFonts w:hint="eastAsia"/>
          <w:highlight w:val="none"/>
        </w:rPr>
        <w:tab/>
      </w:r>
      <w:r>
        <w:rPr>
          <w:rFonts w:hint="eastAsia"/>
          <w:highlight w:val="none"/>
        </w:rPr>
        <w:t xml:space="preserve">                 B.前向一体化发展战略</w:t>
      </w:r>
    </w:p>
    <w:p w14:paraId="3B1C8602">
      <w:pPr>
        <w:spacing w:line="300" w:lineRule="auto"/>
        <w:ind w:left="284" w:firstLine="210" w:firstLineChars="100"/>
        <w:rPr>
          <w:highlight w:val="none"/>
        </w:rPr>
      </w:pPr>
      <w:r>
        <w:rPr>
          <w:rFonts w:hint="eastAsia"/>
          <w:highlight w:val="none"/>
        </w:rPr>
        <w:t>C.后向一体化发展战略</w:t>
      </w:r>
      <w:r>
        <w:rPr>
          <w:rFonts w:hint="eastAsia"/>
          <w:highlight w:val="none"/>
        </w:rPr>
        <w:tab/>
      </w:r>
      <w:r>
        <w:rPr>
          <w:rFonts w:hint="eastAsia"/>
          <w:highlight w:val="none"/>
        </w:rPr>
        <w:t xml:space="preserve">                 D.双向一体化发展战略</w:t>
      </w:r>
    </w:p>
    <w:p w14:paraId="1702528F">
      <w:pPr>
        <w:spacing w:line="300" w:lineRule="auto"/>
        <w:ind w:left="210"/>
        <w:rPr>
          <w:highlight w:val="none"/>
        </w:rPr>
      </w:pPr>
      <w:r>
        <w:rPr>
          <w:rFonts w:hint="eastAsia"/>
          <w:highlight w:val="none"/>
        </w:rPr>
        <w:t>1</w:t>
      </w:r>
      <w:r>
        <w:rPr>
          <w:highlight w:val="none"/>
        </w:rPr>
        <w:t>5</w:t>
      </w:r>
      <w:r>
        <w:rPr>
          <w:rFonts w:hint="eastAsia"/>
          <w:highlight w:val="none"/>
        </w:rPr>
        <w:t xml:space="preserve">“戴尔直销”模式实现了“规模经济性”与“满足顾客个性化需求”的良好结合，这种目标市场选择模式是指（  ）                                                    </w:t>
      </w:r>
    </w:p>
    <w:p w14:paraId="5A851E18">
      <w:pPr>
        <w:pStyle w:val="11"/>
        <w:numPr>
          <w:ilvl w:val="0"/>
          <w:numId w:val="5"/>
        </w:numPr>
        <w:spacing w:line="300" w:lineRule="auto"/>
        <w:ind w:firstLineChars="0"/>
        <w:rPr>
          <w:highlight w:val="none"/>
        </w:rPr>
      </w:pPr>
      <w:r>
        <w:rPr>
          <w:rFonts w:hint="eastAsia"/>
          <w:highlight w:val="none"/>
        </w:rPr>
        <w:t>产品专业化</w:t>
      </w:r>
      <w:r>
        <w:rPr>
          <w:rFonts w:hint="eastAsia"/>
          <w:highlight w:val="none"/>
        </w:rPr>
        <w:tab/>
      </w:r>
      <w:r>
        <w:rPr>
          <w:rFonts w:hint="eastAsia"/>
          <w:highlight w:val="none"/>
        </w:rPr>
        <w:t xml:space="preserve">     B. 大规模定制</w:t>
      </w:r>
      <w:r>
        <w:rPr>
          <w:rFonts w:hint="eastAsia"/>
          <w:highlight w:val="none"/>
        </w:rPr>
        <w:tab/>
      </w:r>
      <w:r>
        <w:rPr>
          <w:rFonts w:hint="eastAsia"/>
          <w:highlight w:val="none"/>
        </w:rPr>
        <w:t xml:space="preserve">    C. 全面进入</w:t>
      </w:r>
      <w:r>
        <w:rPr>
          <w:rFonts w:hint="eastAsia"/>
          <w:highlight w:val="none"/>
        </w:rPr>
        <w:tab/>
      </w:r>
      <w:r>
        <w:rPr>
          <w:rFonts w:hint="eastAsia"/>
          <w:highlight w:val="none"/>
        </w:rPr>
        <w:t xml:space="preserve">     D.市场专业化                                        </w:t>
      </w:r>
    </w:p>
    <w:p w14:paraId="2A0A3932">
      <w:pPr>
        <w:spacing w:line="300" w:lineRule="auto"/>
        <w:ind w:left="210"/>
        <w:rPr>
          <w:highlight w:val="none"/>
        </w:rPr>
      </w:pPr>
      <w:r>
        <w:rPr>
          <w:rFonts w:hint="eastAsia"/>
          <w:highlight w:val="none"/>
        </w:rPr>
        <w:t>1</w:t>
      </w:r>
      <w:r>
        <w:rPr>
          <w:highlight w:val="none"/>
        </w:rPr>
        <w:t>6</w:t>
      </w:r>
      <w:r>
        <w:rPr>
          <w:rFonts w:hint="eastAsia"/>
          <w:highlight w:val="none"/>
        </w:rPr>
        <w:t xml:space="preserve">针对可能发生的特定变化，及时对企业战略实施影响的原则是（  ）                 </w:t>
      </w:r>
    </w:p>
    <w:p w14:paraId="6D084690">
      <w:pPr>
        <w:pStyle w:val="11"/>
        <w:numPr>
          <w:ilvl w:val="0"/>
          <w:numId w:val="6"/>
        </w:numPr>
        <w:spacing w:line="300" w:lineRule="auto"/>
        <w:ind w:firstLineChars="0"/>
        <w:rPr>
          <w:highlight w:val="none"/>
        </w:rPr>
      </w:pPr>
      <w:r>
        <w:rPr>
          <w:rFonts w:hint="eastAsia"/>
          <w:highlight w:val="none"/>
        </w:rPr>
        <w:t xml:space="preserve">常变原则       </w:t>
      </w:r>
      <w:r>
        <w:rPr>
          <w:rFonts w:hint="eastAsia"/>
          <w:highlight w:val="none"/>
        </w:rPr>
        <w:tab/>
      </w:r>
      <w:r>
        <w:rPr>
          <w:rFonts w:hint="eastAsia"/>
          <w:highlight w:val="none"/>
        </w:rPr>
        <w:t xml:space="preserve"> B.随变原则         C.权变原则    </w:t>
      </w:r>
      <w:r>
        <w:rPr>
          <w:rFonts w:hint="eastAsia"/>
          <w:highlight w:val="none"/>
        </w:rPr>
        <w:tab/>
      </w:r>
      <w:r>
        <w:rPr>
          <w:rFonts w:hint="eastAsia"/>
          <w:highlight w:val="none"/>
        </w:rPr>
        <w:t xml:space="preserve"> D.互变原则                                                        </w:t>
      </w:r>
    </w:p>
    <w:p w14:paraId="0983E1C4">
      <w:pPr>
        <w:spacing w:line="300" w:lineRule="auto"/>
        <w:ind w:firstLine="210" w:firstLineChars="100"/>
        <w:rPr>
          <w:highlight w:val="none"/>
        </w:rPr>
      </w:pPr>
      <w:r>
        <w:rPr>
          <w:highlight w:val="none"/>
        </w:rPr>
        <w:t xml:space="preserve">17  </w:t>
      </w:r>
      <w:r>
        <w:rPr>
          <w:rFonts w:hint="eastAsia"/>
          <w:highlight w:val="none"/>
        </w:rPr>
        <w:t xml:space="preserve">SWOT分析法是（  ）                    </w:t>
      </w:r>
    </w:p>
    <w:p w14:paraId="02E74405">
      <w:pPr>
        <w:spacing w:line="300" w:lineRule="auto"/>
        <w:ind w:left="284" w:firstLine="210" w:firstLineChars="100"/>
        <w:rPr>
          <w:highlight w:val="none"/>
        </w:rPr>
      </w:pPr>
      <w:r>
        <w:rPr>
          <w:rFonts w:hint="eastAsia"/>
          <w:highlight w:val="none"/>
        </w:rPr>
        <w:t>A. 宏观环境分析技术</w:t>
      </w:r>
      <w:r>
        <w:rPr>
          <w:rFonts w:hint="eastAsia"/>
          <w:highlight w:val="none"/>
        </w:rPr>
        <w:tab/>
      </w:r>
      <w:r>
        <w:rPr>
          <w:rFonts w:hint="eastAsia"/>
          <w:highlight w:val="none"/>
        </w:rPr>
        <w:t xml:space="preserve">                B.微观环境分析技术</w:t>
      </w:r>
    </w:p>
    <w:p w14:paraId="631638D8">
      <w:pPr>
        <w:spacing w:line="300" w:lineRule="auto"/>
        <w:ind w:left="284" w:firstLine="210" w:firstLineChars="100"/>
        <w:rPr>
          <w:bCs/>
          <w:highlight w:val="none"/>
        </w:rPr>
      </w:pPr>
      <w:r>
        <w:rPr>
          <w:rFonts w:hint="eastAsia"/>
          <w:highlight w:val="none"/>
        </w:rPr>
        <w:t xml:space="preserve">C. 内外部环境分析技术               D.内部因素分析技术   </w:t>
      </w:r>
      <w:r>
        <w:rPr>
          <w:rFonts w:hint="eastAsia"/>
          <w:bCs/>
          <w:highlight w:val="none"/>
        </w:rPr>
        <w:t xml:space="preserve">    </w:t>
      </w:r>
    </w:p>
    <w:p w14:paraId="4AC29D82">
      <w:pPr>
        <w:pStyle w:val="11"/>
        <w:numPr>
          <w:ilvl w:val="0"/>
          <w:numId w:val="7"/>
        </w:numPr>
        <w:spacing w:line="300" w:lineRule="auto"/>
        <w:ind w:firstLineChars="0"/>
        <w:rPr>
          <w:bCs/>
          <w:highlight w:val="none"/>
        </w:rPr>
      </w:pPr>
      <w:r>
        <w:rPr>
          <w:rFonts w:hint="eastAsia"/>
          <w:bCs/>
          <w:highlight w:val="none"/>
        </w:rPr>
        <w:t xml:space="preserve">战略目标      </w:t>
      </w:r>
      <w:r>
        <w:rPr>
          <w:rFonts w:hint="eastAsia"/>
          <w:bCs/>
          <w:highlight w:val="none"/>
        </w:rPr>
        <w:tab/>
      </w:r>
      <w:r>
        <w:rPr>
          <w:rFonts w:hint="eastAsia"/>
          <w:bCs/>
          <w:highlight w:val="none"/>
        </w:rPr>
        <w:t>B.战略行动          C.战略重点</w:t>
      </w:r>
      <w:r>
        <w:rPr>
          <w:rFonts w:hint="eastAsia"/>
          <w:bCs/>
          <w:highlight w:val="none"/>
        </w:rPr>
        <w:tab/>
      </w:r>
      <w:r>
        <w:rPr>
          <w:rFonts w:hint="eastAsia"/>
          <w:bCs/>
          <w:highlight w:val="none"/>
        </w:rPr>
        <w:t xml:space="preserve">        D.战略方针</w:t>
      </w:r>
    </w:p>
    <w:p w14:paraId="139A96E6">
      <w:pPr>
        <w:spacing w:line="300" w:lineRule="auto"/>
        <w:ind w:firstLine="210" w:firstLineChars="100"/>
        <w:rPr>
          <w:rFonts w:ascii="宋体" w:hAnsi="宋体"/>
          <w:bCs/>
          <w:highlight w:val="none"/>
        </w:rPr>
      </w:pPr>
      <w:r>
        <w:rPr>
          <w:rFonts w:hint="eastAsia"/>
          <w:highlight w:val="none"/>
        </w:rPr>
        <w:t>1</w:t>
      </w:r>
      <w:r>
        <w:rPr>
          <w:highlight w:val="none"/>
        </w:rPr>
        <w:t>8</w:t>
      </w:r>
      <w:r>
        <w:rPr>
          <w:rFonts w:hint="eastAsia"/>
          <w:highlight w:val="none"/>
        </w:rPr>
        <w:t>按企业内部的各项职能如市场营销、生产、财务、研究与开发、人力资源管理等来构造的组织结构，这是</w:t>
      </w:r>
      <w:r>
        <w:rPr>
          <w:rFonts w:hint="eastAsia"/>
          <w:highlight w:val="none"/>
        </w:rPr>
        <w:tab/>
      </w:r>
      <w:r>
        <w:rPr>
          <w:rFonts w:hint="eastAsia"/>
          <w:highlight w:val="none"/>
        </w:rPr>
        <w:t>（  ）</w:t>
      </w:r>
      <w:r>
        <w:rPr>
          <w:rFonts w:hint="eastAsia" w:ascii="Calibri" w:hAnsi="Calibri"/>
          <w:highlight w:val="none"/>
        </w:rPr>
        <w:tab/>
      </w:r>
      <w:r>
        <w:rPr>
          <w:rFonts w:hint="eastAsia" w:ascii="Calibri" w:hAnsi="Calibri"/>
          <w:sz w:val="32"/>
          <w:highlight w:val="none"/>
        </w:rPr>
        <w:tab/>
      </w:r>
      <w:r>
        <w:rPr>
          <w:rFonts w:hint="eastAsia" w:ascii="Calibri" w:hAnsi="Calibri"/>
          <w:sz w:val="32"/>
          <w:highlight w:val="none"/>
        </w:rPr>
        <w:tab/>
      </w:r>
      <w:r>
        <w:rPr>
          <w:rFonts w:hint="eastAsia" w:ascii="Calibri" w:hAnsi="Calibri"/>
          <w:sz w:val="32"/>
          <w:highlight w:val="none"/>
        </w:rPr>
        <w:t xml:space="preserve">                          </w:t>
      </w:r>
    </w:p>
    <w:p w14:paraId="0BCCCC3B">
      <w:pPr>
        <w:spacing w:line="300" w:lineRule="auto"/>
        <w:ind w:left="284" w:firstLine="210" w:firstLineChars="100"/>
        <w:rPr>
          <w:highlight w:val="none"/>
        </w:rPr>
      </w:pPr>
      <w:r>
        <w:rPr>
          <w:rFonts w:hint="eastAsia"/>
          <w:highlight w:val="none"/>
        </w:rPr>
        <w:t>A. 直线制组织结构</w:t>
      </w:r>
      <w:r>
        <w:rPr>
          <w:rFonts w:hint="eastAsia"/>
          <w:highlight w:val="none"/>
        </w:rPr>
        <w:tab/>
      </w:r>
      <w:r>
        <w:rPr>
          <w:rFonts w:hint="eastAsia"/>
          <w:highlight w:val="none"/>
        </w:rPr>
        <w:tab/>
      </w:r>
      <w:r>
        <w:rPr>
          <w:rFonts w:hint="eastAsia"/>
          <w:highlight w:val="none"/>
        </w:rPr>
        <w:tab/>
      </w:r>
      <w:r>
        <w:rPr>
          <w:rFonts w:hint="eastAsia"/>
          <w:highlight w:val="none"/>
        </w:rPr>
        <w:tab/>
      </w:r>
      <w:r>
        <w:rPr>
          <w:rFonts w:hint="eastAsia"/>
          <w:highlight w:val="none"/>
        </w:rPr>
        <w:tab/>
      </w:r>
      <w:r>
        <w:rPr>
          <w:rFonts w:hint="eastAsia"/>
          <w:highlight w:val="none"/>
        </w:rPr>
        <w:t>B. 职能型组织结构</w:t>
      </w:r>
    </w:p>
    <w:p w14:paraId="71926AC4">
      <w:pPr>
        <w:spacing w:line="300" w:lineRule="auto"/>
        <w:ind w:left="284" w:firstLine="210" w:firstLineChars="100"/>
        <w:rPr>
          <w:highlight w:val="none"/>
        </w:rPr>
      </w:pPr>
      <w:r>
        <w:rPr>
          <w:rFonts w:hint="eastAsia"/>
          <w:highlight w:val="none"/>
        </w:rPr>
        <w:t>C. 事业部制组织结构</w:t>
      </w:r>
      <w:r>
        <w:rPr>
          <w:rFonts w:hint="eastAsia"/>
          <w:highlight w:val="none"/>
        </w:rPr>
        <w:tab/>
      </w:r>
      <w:r>
        <w:rPr>
          <w:rFonts w:hint="eastAsia"/>
          <w:highlight w:val="none"/>
        </w:rPr>
        <w:tab/>
      </w:r>
      <w:r>
        <w:rPr>
          <w:rFonts w:hint="eastAsia"/>
          <w:highlight w:val="none"/>
        </w:rPr>
        <w:tab/>
      </w:r>
      <w:r>
        <w:rPr>
          <w:rFonts w:hint="eastAsia"/>
          <w:highlight w:val="none"/>
        </w:rPr>
        <w:tab/>
      </w:r>
      <w:r>
        <w:rPr>
          <w:rFonts w:hint="eastAsia"/>
          <w:highlight w:val="none"/>
        </w:rPr>
        <w:tab/>
      </w:r>
      <w:r>
        <w:rPr>
          <w:rFonts w:hint="eastAsia"/>
          <w:highlight w:val="none"/>
        </w:rPr>
        <w:t xml:space="preserve">D. 矩阵制组织结构    </w:t>
      </w:r>
      <w:r>
        <w:rPr>
          <w:rFonts w:hint="eastAsia"/>
          <w:bCs/>
          <w:highlight w:val="none"/>
        </w:rPr>
        <w:t xml:space="preserve">                                    </w:t>
      </w:r>
    </w:p>
    <w:p w14:paraId="2B4BD241">
      <w:pPr>
        <w:pStyle w:val="11"/>
        <w:numPr>
          <w:ilvl w:val="0"/>
          <w:numId w:val="8"/>
        </w:numPr>
        <w:spacing w:line="300" w:lineRule="auto"/>
        <w:ind w:firstLineChars="0"/>
        <w:rPr>
          <w:highlight w:val="none"/>
        </w:rPr>
      </w:pPr>
      <w:r>
        <w:rPr>
          <w:rFonts w:hint="eastAsia"/>
          <w:highlight w:val="none"/>
        </w:rPr>
        <w:t>受到组织决策和行为的影响者被统称为（  ）</w:t>
      </w:r>
    </w:p>
    <w:p w14:paraId="451E3CB2">
      <w:pPr>
        <w:spacing w:line="300" w:lineRule="auto"/>
        <w:ind w:left="284" w:firstLine="210" w:firstLineChars="100"/>
        <w:rPr>
          <w:highlight w:val="none"/>
        </w:rPr>
      </w:pPr>
      <w:r>
        <w:rPr>
          <w:rFonts w:hint="eastAsia"/>
          <w:highlight w:val="none"/>
        </w:rPr>
        <w:t>A. 股东        B. 消费者         C. 利益相关者      D. 竞争对手</w:t>
      </w:r>
    </w:p>
    <w:p w14:paraId="5BCE03C1">
      <w:pPr>
        <w:pStyle w:val="11"/>
        <w:numPr>
          <w:ilvl w:val="0"/>
          <w:numId w:val="8"/>
        </w:numPr>
        <w:spacing w:line="300" w:lineRule="auto"/>
        <w:ind w:firstLineChars="0"/>
        <w:rPr>
          <w:highlight w:val="none"/>
        </w:rPr>
      </w:pPr>
      <w:r>
        <w:rPr>
          <w:highlight w:val="none"/>
        </w:rPr>
        <w:t>对企业来说，下列哪种环境对企业的影响最大</w:t>
      </w:r>
      <w:r>
        <w:rPr>
          <w:rFonts w:hint="eastAsia"/>
          <w:highlight w:val="none"/>
        </w:rPr>
        <w:t>？（  ）</w:t>
      </w:r>
    </w:p>
    <w:p w14:paraId="1C5898CD">
      <w:pPr>
        <w:spacing w:line="300" w:lineRule="auto"/>
        <w:ind w:left="494"/>
        <w:rPr>
          <w:highlight w:val="none"/>
        </w:rPr>
      </w:pPr>
      <w:r>
        <w:rPr>
          <w:highlight w:val="none"/>
        </w:rPr>
        <w:t>A．简单－稳定   B. 简单－动态</w:t>
      </w:r>
      <w:r>
        <w:rPr>
          <w:rFonts w:hint="eastAsia"/>
          <w:highlight w:val="none"/>
        </w:rPr>
        <w:t xml:space="preserve">    </w:t>
      </w:r>
      <w:r>
        <w:rPr>
          <w:highlight w:val="none"/>
        </w:rPr>
        <w:t>C．复杂－稳定     D. 复杂－动态</w:t>
      </w:r>
    </w:p>
    <w:p w14:paraId="65608EA6">
      <w:pPr>
        <w:spacing w:line="300" w:lineRule="auto"/>
        <w:rPr>
          <w:rFonts w:hint="eastAsia"/>
          <w:highlight w:val="none"/>
        </w:rPr>
      </w:pPr>
    </w:p>
    <w:p w14:paraId="3EDD11D9">
      <w:pPr>
        <w:pStyle w:val="11"/>
        <w:numPr>
          <w:ilvl w:val="0"/>
          <w:numId w:val="1"/>
        </w:numPr>
        <w:spacing w:line="360" w:lineRule="auto"/>
        <w:ind w:firstLineChars="0"/>
        <w:rPr>
          <w:rFonts w:ascii="黑体" w:hAnsi="黑体" w:eastAsia="黑体"/>
          <w:sz w:val="24"/>
          <w:highlight w:val="none"/>
        </w:rPr>
      </w:pPr>
      <w:r>
        <w:rPr>
          <w:rFonts w:hint="eastAsia" w:ascii="黑体" w:hAnsi="黑体" w:eastAsia="黑体"/>
          <w:sz w:val="24"/>
          <w:highlight w:val="none"/>
        </w:rPr>
        <w:t>简答题</w:t>
      </w:r>
    </w:p>
    <w:p w14:paraId="75274F25">
      <w:pPr>
        <w:pStyle w:val="11"/>
        <w:numPr>
          <w:ilvl w:val="0"/>
          <w:numId w:val="9"/>
        </w:numPr>
        <w:ind w:firstLineChars="0"/>
        <w:rPr>
          <w:bCs/>
          <w:highlight w:val="none"/>
        </w:rPr>
      </w:pPr>
      <w:r>
        <w:rPr>
          <w:rFonts w:hint="eastAsia"/>
          <w:bCs/>
          <w:highlight w:val="none"/>
        </w:rPr>
        <w:t>简述波特的五种力量模型。</w:t>
      </w:r>
    </w:p>
    <w:p w14:paraId="25DA0699">
      <w:pPr>
        <w:rPr>
          <w:bCs/>
          <w:highlight w:val="none"/>
        </w:rPr>
      </w:pPr>
    </w:p>
    <w:p w14:paraId="76157159">
      <w:pPr>
        <w:rPr>
          <w:bCs/>
          <w:highlight w:val="none"/>
        </w:rPr>
      </w:pPr>
      <w:r>
        <w:rPr>
          <w:rFonts w:hint="eastAsia"/>
          <w:highlight w:val="none"/>
          <w:lang w:val="en-US" w:eastAsia="zh-CN"/>
        </w:rPr>
        <w:t xml:space="preserve">  </w:t>
      </w:r>
    </w:p>
    <w:p w14:paraId="3F6CDE54">
      <w:pPr>
        <w:rPr>
          <w:bCs/>
          <w:highlight w:val="none"/>
        </w:rPr>
      </w:pPr>
    </w:p>
    <w:p w14:paraId="3C8BF020">
      <w:pPr>
        <w:rPr>
          <w:bCs/>
          <w:highlight w:val="none"/>
        </w:rPr>
      </w:pPr>
    </w:p>
    <w:p w14:paraId="688BA4C7">
      <w:pPr>
        <w:rPr>
          <w:bCs/>
          <w:highlight w:val="none"/>
        </w:rPr>
      </w:pPr>
    </w:p>
    <w:p w14:paraId="753377BD">
      <w:pPr>
        <w:rPr>
          <w:bCs/>
          <w:highlight w:val="none"/>
        </w:rPr>
      </w:pPr>
    </w:p>
    <w:p w14:paraId="5002DB89">
      <w:pPr>
        <w:rPr>
          <w:bCs/>
          <w:highlight w:val="none"/>
        </w:rPr>
      </w:pPr>
    </w:p>
    <w:p w14:paraId="15EECFA4">
      <w:pPr>
        <w:rPr>
          <w:bCs/>
          <w:highlight w:val="none"/>
        </w:rPr>
      </w:pPr>
    </w:p>
    <w:p w14:paraId="2CB59E84">
      <w:pPr>
        <w:rPr>
          <w:bCs/>
          <w:highlight w:val="none"/>
        </w:rPr>
      </w:pPr>
    </w:p>
    <w:p w14:paraId="1F264158">
      <w:pPr>
        <w:pStyle w:val="11"/>
        <w:numPr>
          <w:ilvl w:val="0"/>
          <w:numId w:val="9"/>
        </w:numPr>
        <w:ind w:firstLineChars="0"/>
        <w:rPr>
          <w:bCs/>
          <w:highlight w:val="none"/>
        </w:rPr>
      </w:pPr>
      <w:r>
        <w:rPr>
          <w:rFonts w:hint="eastAsia"/>
          <w:bCs/>
          <w:highlight w:val="none"/>
        </w:rPr>
        <w:t>成熟行业中，企业可常用的战略对策有哪些？</w:t>
      </w:r>
    </w:p>
    <w:p w14:paraId="43F9CFEC">
      <w:pPr>
        <w:rPr>
          <w:bCs/>
          <w:highlight w:val="none"/>
        </w:rPr>
      </w:pPr>
    </w:p>
    <w:p w14:paraId="14CFB067">
      <w:pPr>
        <w:rPr>
          <w:bCs/>
          <w:highlight w:val="none"/>
        </w:rPr>
      </w:pPr>
      <w:r>
        <w:rPr>
          <w:rFonts w:hint="eastAsia"/>
          <w:highlight w:val="none"/>
          <w:lang w:val="en-US" w:eastAsia="zh-CN"/>
        </w:rPr>
        <w:t xml:space="preserve">  </w:t>
      </w:r>
    </w:p>
    <w:p w14:paraId="2BCAD794">
      <w:pPr>
        <w:rPr>
          <w:bCs/>
          <w:highlight w:val="none"/>
        </w:rPr>
      </w:pPr>
    </w:p>
    <w:p w14:paraId="71BA538D">
      <w:pPr>
        <w:rPr>
          <w:bCs/>
          <w:highlight w:val="none"/>
        </w:rPr>
      </w:pPr>
    </w:p>
    <w:p w14:paraId="41B6AB25">
      <w:pPr>
        <w:rPr>
          <w:bCs/>
          <w:highlight w:val="none"/>
        </w:rPr>
      </w:pPr>
    </w:p>
    <w:p w14:paraId="427F6541">
      <w:pPr>
        <w:rPr>
          <w:rFonts w:hint="eastAsia"/>
          <w:bCs/>
          <w:highlight w:val="none"/>
        </w:rPr>
      </w:pPr>
    </w:p>
    <w:p w14:paraId="67A8CF32">
      <w:pPr>
        <w:numPr>
          <w:ilvl w:val="0"/>
          <w:numId w:val="9"/>
        </w:numPr>
        <w:rPr>
          <w:bCs/>
          <w:highlight w:val="none"/>
        </w:rPr>
      </w:pPr>
      <w:r>
        <w:rPr>
          <w:rFonts w:hint="eastAsia"/>
          <w:bCs/>
          <w:highlight w:val="none"/>
        </w:rPr>
        <w:t>为什么企业研究和了解外部环境很重要？（）</w:t>
      </w:r>
    </w:p>
    <w:p w14:paraId="4B6C3B4B">
      <w:pPr>
        <w:rPr>
          <w:bCs/>
          <w:highlight w:val="none"/>
        </w:rPr>
      </w:pPr>
    </w:p>
    <w:p w14:paraId="4C2F9782">
      <w:pPr>
        <w:rPr>
          <w:bCs/>
          <w:highlight w:val="none"/>
        </w:rPr>
      </w:pPr>
    </w:p>
    <w:p w14:paraId="72532D7F">
      <w:pPr>
        <w:rPr>
          <w:bCs/>
          <w:highlight w:val="none"/>
        </w:rPr>
      </w:pPr>
    </w:p>
    <w:p w14:paraId="48757749">
      <w:pPr>
        <w:rPr>
          <w:bCs/>
          <w:highlight w:val="none"/>
        </w:rPr>
      </w:pPr>
    </w:p>
    <w:p w14:paraId="087C6C51">
      <w:pPr>
        <w:rPr>
          <w:bCs/>
          <w:highlight w:val="none"/>
        </w:rPr>
      </w:pPr>
    </w:p>
    <w:p w14:paraId="1ABEF635">
      <w:pPr>
        <w:rPr>
          <w:bCs/>
          <w:highlight w:val="none"/>
        </w:rPr>
      </w:pPr>
    </w:p>
    <w:p w14:paraId="114C78EF">
      <w:pPr>
        <w:rPr>
          <w:bCs/>
          <w:highlight w:val="none"/>
        </w:rPr>
      </w:pPr>
    </w:p>
    <w:p w14:paraId="2CFF44E4">
      <w:pPr>
        <w:rPr>
          <w:bCs/>
          <w:highlight w:val="none"/>
        </w:rPr>
      </w:pPr>
    </w:p>
    <w:p w14:paraId="4A0F7D26">
      <w:pPr>
        <w:rPr>
          <w:bCs/>
          <w:highlight w:val="none"/>
        </w:rPr>
      </w:pPr>
    </w:p>
    <w:p w14:paraId="0E5DBA50">
      <w:pPr>
        <w:numPr>
          <w:ilvl w:val="0"/>
          <w:numId w:val="9"/>
        </w:numPr>
        <w:rPr>
          <w:bCs/>
          <w:highlight w:val="none"/>
        </w:rPr>
      </w:pPr>
      <w:r>
        <w:rPr>
          <w:rFonts w:hint="eastAsia"/>
          <w:bCs/>
          <w:highlight w:val="none"/>
        </w:rPr>
        <w:t>企业进行多元化经营的内部原因有哪些？</w:t>
      </w:r>
    </w:p>
    <w:p w14:paraId="47A149DD">
      <w:pPr>
        <w:rPr>
          <w:bCs/>
          <w:highlight w:val="none"/>
        </w:rPr>
      </w:pPr>
    </w:p>
    <w:p w14:paraId="7EA2D666">
      <w:pPr>
        <w:rPr>
          <w:bCs/>
          <w:highlight w:val="none"/>
        </w:rPr>
      </w:pPr>
    </w:p>
    <w:p w14:paraId="179E3911">
      <w:pPr>
        <w:rPr>
          <w:bCs/>
          <w:highlight w:val="none"/>
        </w:rPr>
      </w:pPr>
    </w:p>
    <w:p w14:paraId="597876CF">
      <w:pPr>
        <w:rPr>
          <w:bCs/>
          <w:highlight w:val="none"/>
        </w:rPr>
      </w:pPr>
    </w:p>
    <w:p w14:paraId="550069B1">
      <w:pPr>
        <w:rPr>
          <w:bCs/>
          <w:highlight w:val="none"/>
        </w:rPr>
      </w:pPr>
    </w:p>
    <w:p w14:paraId="0986C401">
      <w:pPr>
        <w:rPr>
          <w:bCs/>
          <w:highlight w:val="none"/>
        </w:rPr>
      </w:pPr>
    </w:p>
    <w:p w14:paraId="6F64CA31">
      <w:pPr>
        <w:rPr>
          <w:rFonts w:hint="eastAsia"/>
          <w:bCs/>
          <w:highlight w:val="none"/>
        </w:rPr>
      </w:pPr>
    </w:p>
    <w:p w14:paraId="51F68B6A">
      <w:pPr>
        <w:rPr>
          <w:rFonts w:hint="eastAsia"/>
          <w:bCs/>
          <w:highlight w:val="none"/>
        </w:rPr>
      </w:pPr>
    </w:p>
    <w:p w14:paraId="5454B570">
      <w:pPr>
        <w:rPr>
          <w:bCs/>
          <w:highlight w:val="none"/>
        </w:rPr>
      </w:pPr>
    </w:p>
    <w:p w14:paraId="7599903F">
      <w:pPr>
        <w:numPr>
          <w:ilvl w:val="0"/>
          <w:numId w:val="9"/>
        </w:numPr>
        <w:jc w:val="left"/>
        <w:rPr>
          <w:szCs w:val="21"/>
          <w:highlight w:val="none"/>
        </w:rPr>
      </w:pPr>
      <w:r>
        <w:rPr>
          <w:rFonts w:hint="eastAsia"/>
          <w:szCs w:val="21"/>
          <w:highlight w:val="none"/>
        </w:rPr>
        <w:t>企业的资源与能力之间存在什么关系？</w:t>
      </w:r>
    </w:p>
    <w:p w14:paraId="4D620EB7">
      <w:pPr>
        <w:rPr>
          <w:bCs/>
          <w:highlight w:val="none"/>
        </w:rPr>
      </w:pPr>
    </w:p>
    <w:p w14:paraId="327D471F">
      <w:pPr>
        <w:rPr>
          <w:bCs/>
          <w:highlight w:val="none"/>
        </w:rPr>
      </w:pPr>
    </w:p>
    <w:p w14:paraId="197014DA">
      <w:pPr>
        <w:spacing w:line="360" w:lineRule="auto"/>
        <w:rPr>
          <w:rFonts w:ascii="黑体" w:hAnsi="黑体" w:eastAsia="黑体"/>
          <w:sz w:val="24"/>
          <w:highlight w:val="none"/>
        </w:rPr>
      </w:pPr>
    </w:p>
    <w:p w14:paraId="04583943">
      <w:pPr>
        <w:pStyle w:val="11"/>
        <w:spacing w:line="360" w:lineRule="auto"/>
        <w:ind w:left="480" w:firstLine="0" w:firstLineChars="0"/>
        <w:rPr>
          <w:rFonts w:ascii="黑体" w:hAnsi="黑体" w:eastAsia="黑体"/>
          <w:sz w:val="24"/>
          <w:highlight w:val="none"/>
        </w:rPr>
      </w:pPr>
    </w:p>
    <w:p w14:paraId="00C46C72">
      <w:pPr>
        <w:pStyle w:val="11"/>
        <w:spacing w:line="360" w:lineRule="auto"/>
        <w:ind w:left="480" w:firstLine="0" w:firstLineChars="0"/>
        <w:rPr>
          <w:rFonts w:ascii="黑体" w:hAnsi="黑体" w:eastAsia="黑体"/>
          <w:sz w:val="24"/>
          <w:highlight w:val="none"/>
        </w:rPr>
      </w:pPr>
    </w:p>
    <w:p w14:paraId="52A2D0EB">
      <w:pPr>
        <w:pStyle w:val="11"/>
        <w:numPr>
          <w:ilvl w:val="0"/>
          <w:numId w:val="1"/>
        </w:numPr>
        <w:spacing w:line="360" w:lineRule="auto"/>
        <w:ind w:firstLineChars="0"/>
        <w:rPr>
          <w:rFonts w:ascii="黑体" w:hAnsi="黑体" w:eastAsia="黑体"/>
          <w:sz w:val="24"/>
          <w:highlight w:val="none"/>
        </w:rPr>
      </w:pPr>
      <w:r>
        <w:rPr>
          <w:rFonts w:hint="eastAsia" w:ascii="黑体" w:hAnsi="黑体" w:eastAsia="黑体"/>
          <w:sz w:val="24"/>
          <w:highlight w:val="none"/>
        </w:rPr>
        <w:t>论述题</w:t>
      </w:r>
    </w:p>
    <w:p w14:paraId="5ACAF8E8">
      <w:pPr>
        <w:spacing w:line="300" w:lineRule="auto"/>
        <w:ind w:firstLine="210" w:firstLineChars="100"/>
        <w:rPr>
          <w:rFonts w:asciiTheme="minorEastAsia" w:hAnsiTheme="minorEastAsia" w:eastAsiaTheme="minorEastAsia"/>
          <w:bCs/>
          <w:highlight w:val="none"/>
        </w:rPr>
      </w:pPr>
      <w:r>
        <w:rPr>
          <w:rFonts w:hint="eastAsia" w:asciiTheme="minorEastAsia" w:hAnsiTheme="minorEastAsia" w:eastAsiaTheme="minorEastAsia"/>
          <w:bCs/>
          <w:highlight w:val="none"/>
        </w:rPr>
        <w:t xml:space="preserve"> “随着行业生命周期的演进，企业应该及时地调整自己的战略。”请就这一主题展开论述：结合不同的行业生命周期阶段来讨论企业应该采用何种战略，从而在该阶段的竞争中建立竞争优势。</w:t>
      </w:r>
    </w:p>
    <w:p w14:paraId="6B02CB8B">
      <w:pPr>
        <w:spacing w:line="300" w:lineRule="auto"/>
        <w:ind w:firstLine="420" w:firstLineChars="200"/>
        <w:rPr>
          <w:rFonts w:asciiTheme="minorEastAsia" w:hAnsiTheme="minorEastAsia" w:eastAsiaTheme="minorEastAsia"/>
          <w:bCs/>
          <w:highlight w:val="none"/>
        </w:rPr>
      </w:pPr>
    </w:p>
    <w:p w14:paraId="008B419E">
      <w:pPr>
        <w:spacing w:line="300" w:lineRule="auto"/>
        <w:ind w:firstLine="420" w:firstLineChars="200"/>
        <w:rPr>
          <w:rFonts w:asciiTheme="minorEastAsia" w:hAnsiTheme="minorEastAsia" w:eastAsiaTheme="minorEastAsia"/>
          <w:bCs/>
          <w:highlight w:val="none"/>
        </w:rPr>
      </w:pPr>
    </w:p>
    <w:p w14:paraId="526E80F8">
      <w:pPr>
        <w:spacing w:line="300" w:lineRule="auto"/>
        <w:ind w:firstLine="420" w:firstLineChars="200"/>
        <w:rPr>
          <w:rFonts w:asciiTheme="minorEastAsia" w:hAnsiTheme="minorEastAsia" w:eastAsiaTheme="minorEastAsia"/>
          <w:bCs/>
          <w:highlight w:val="none"/>
        </w:rPr>
      </w:pPr>
    </w:p>
    <w:p w14:paraId="6594EF35">
      <w:pPr>
        <w:spacing w:line="300" w:lineRule="auto"/>
        <w:ind w:firstLine="420" w:firstLineChars="200"/>
        <w:rPr>
          <w:rFonts w:asciiTheme="minorEastAsia" w:hAnsiTheme="minorEastAsia" w:eastAsiaTheme="minorEastAsia"/>
          <w:bCs/>
          <w:highlight w:val="none"/>
        </w:rPr>
      </w:pPr>
    </w:p>
    <w:p w14:paraId="1479A488">
      <w:pPr>
        <w:spacing w:line="300" w:lineRule="auto"/>
        <w:ind w:firstLine="420" w:firstLineChars="200"/>
        <w:rPr>
          <w:rFonts w:asciiTheme="minorEastAsia" w:hAnsiTheme="minorEastAsia" w:eastAsiaTheme="minorEastAsia"/>
          <w:bCs/>
          <w:highlight w:val="none"/>
        </w:rPr>
      </w:pPr>
    </w:p>
    <w:p w14:paraId="1355A301">
      <w:pPr>
        <w:spacing w:line="300" w:lineRule="auto"/>
        <w:ind w:firstLine="420" w:firstLineChars="200"/>
        <w:rPr>
          <w:rFonts w:asciiTheme="minorEastAsia" w:hAnsiTheme="minorEastAsia" w:eastAsiaTheme="minorEastAsia"/>
          <w:bCs/>
          <w:highlight w:val="none"/>
        </w:rPr>
      </w:pPr>
    </w:p>
    <w:p w14:paraId="4B3D7A73">
      <w:pPr>
        <w:spacing w:line="300" w:lineRule="auto"/>
        <w:ind w:firstLine="420" w:firstLineChars="200"/>
        <w:rPr>
          <w:rFonts w:asciiTheme="minorEastAsia" w:hAnsiTheme="minorEastAsia" w:eastAsiaTheme="minorEastAsia"/>
          <w:bCs/>
          <w:highlight w:val="none"/>
        </w:rPr>
      </w:pPr>
    </w:p>
    <w:p w14:paraId="58F5B453">
      <w:pPr>
        <w:spacing w:line="300" w:lineRule="auto"/>
        <w:ind w:firstLine="420" w:firstLineChars="200"/>
        <w:rPr>
          <w:rFonts w:asciiTheme="minorEastAsia" w:hAnsiTheme="minorEastAsia" w:eastAsiaTheme="minorEastAsia"/>
          <w:bCs/>
          <w:highlight w:val="none"/>
        </w:rPr>
      </w:pPr>
    </w:p>
    <w:p w14:paraId="6BBCB956">
      <w:pPr>
        <w:spacing w:line="300" w:lineRule="auto"/>
        <w:ind w:firstLine="420" w:firstLineChars="200"/>
        <w:rPr>
          <w:rFonts w:asciiTheme="minorEastAsia" w:hAnsiTheme="minorEastAsia" w:eastAsiaTheme="minorEastAsia"/>
          <w:bCs/>
          <w:highlight w:val="none"/>
        </w:rPr>
      </w:pPr>
    </w:p>
    <w:p w14:paraId="2965530D">
      <w:pPr>
        <w:spacing w:line="300" w:lineRule="auto"/>
        <w:ind w:firstLine="420" w:firstLineChars="200"/>
        <w:rPr>
          <w:rFonts w:ascii="宋体" w:hAnsi="宋体"/>
          <w:bCs/>
          <w:highlight w:val="none"/>
        </w:rPr>
      </w:pPr>
      <w:r>
        <w:rPr>
          <w:rFonts w:hint="eastAsia" w:ascii="宋体" w:hAnsi="宋体"/>
          <w:bCs/>
          <w:highlight w:val="none"/>
        </w:rPr>
        <w:t>浙江万向集团从1986年获得自营进出口权开始，到2009年3月成功收购了美国DS汽车转向车轴业务为止，经历了国际化的成长历程。1980年代，由于企业实力限制，不了解国际市场，万向首先选择最简单易行、风险也最小的间接出口模式。随着国际化经验不断增加和企业技术水平的提高，且产品在国外也有一定的市场后，万向派出人员在海外设立销售分支机构，直接开展国际营销。随着对国际市场的了解、企业实力的增强，万向正式确立了国际化并购战略目标，先后在海外控股20多个子公司，正式实施并购战略。目前，万向在美国、欧洲和南美都已经设立了业务部，在接连并购多家国外老牌企业后，万向的国际化成长已经大大超出了产品出口阶段，具备了比较成熟的海外生产基地和配套机构。</w:t>
      </w:r>
    </w:p>
    <w:p w14:paraId="7CA49AE0">
      <w:pPr>
        <w:spacing w:line="300" w:lineRule="auto"/>
        <w:ind w:firstLine="420" w:firstLineChars="200"/>
        <w:rPr>
          <w:rFonts w:ascii="宋体" w:hAnsi="宋体"/>
          <w:bCs/>
          <w:highlight w:val="none"/>
        </w:rPr>
      </w:pPr>
      <w:r>
        <w:rPr>
          <w:rFonts w:hint="eastAsia" w:ascii="宋体" w:hAnsi="宋体"/>
          <w:bCs/>
          <w:highlight w:val="none"/>
        </w:rPr>
        <w:t>请结合上述材料，论述企业进行国际化经营的动机和国际化扩张的潜在风险。</w:t>
      </w:r>
    </w:p>
    <w:p w14:paraId="0E8051D3">
      <w:pPr>
        <w:spacing w:line="300" w:lineRule="auto"/>
        <w:ind w:firstLine="420" w:firstLineChars="200"/>
        <w:rPr>
          <w:rFonts w:ascii="宋体" w:hAnsi="宋体"/>
          <w:bCs/>
          <w:highlight w:val="none"/>
        </w:rPr>
      </w:pPr>
    </w:p>
    <w:p w14:paraId="1ABACB26">
      <w:pPr>
        <w:spacing w:line="300" w:lineRule="auto"/>
        <w:ind w:firstLine="420" w:firstLineChars="200"/>
        <w:rPr>
          <w:rFonts w:ascii="宋体" w:hAnsi="宋体"/>
          <w:bCs/>
          <w:highlight w:val="none"/>
        </w:rPr>
      </w:pPr>
    </w:p>
    <w:p w14:paraId="5133C294">
      <w:pPr>
        <w:spacing w:line="300" w:lineRule="auto"/>
        <w:ind w:firstLine="420" w:firstLineChars="200"/>
        <w:rPr>
          <w:rFonts w:ascii="宋体" w:hAnsi="宋体"/>
          <w:bCs/>
          <w:highlight w:val="none"/>
        </w:rPr>
      </w:pPr>
    </w:p>
    <w:p w14:paraId="21CCC640">
      <w:pPr>
        <w:spacing w:line="300" w:lineRule="auto"/>
        <w:ind w:firstLine="420" w:firstLineChars="200"/>
        <w:rPr>
          <w:rFonts w:asciiTheme="minorEastAsia" w:hAnsiTheme="minorEastAsia" w:eastAsiaTheme="minorEastAsia"/>
          <w:bCs/>
          <w:highlight w:val="none"/>
        </w:rPr>
      </w:pPr>
    </w:p>
    <w:p w14:paraId="76CEDC5D">
      <w:pPr>
        <w:spacing w:line="300" w:lineRule="auto"/>
        <w:ind w:firstLine="420" w:firstLineChars="200"/>
        <w:rPr>
          <w:rFonts w:asciiTheme="minorEastAsia" w:hAnsiTheme="minorEastAsia" w:eastAsiaTheme="minorEastAsia"/>
          <w:bCs/>
          <w:highlight w:val="none"/>
        </w:rPr>
      </w:pPr>
    </w:p>
    <w:p w14:paraId="47E01EF5">
      <w:pPr>
        <w:spacing w:line="300" w:lineRule="auto"/>
        <w:ind w:firstLine="420" w:firstLineChars="200"/>
        <w:rPr>
          <w:rFonts w:asciiTheme="minorEastAsia" w:hAnsiTheme="minorEastAsia" w:eastAsiaTheme="minorEastAsia"/>
          <w:bCs/>
          <w:highlight w:val="none"/>
        </w:rPr>
      </w:pPr>
    </w:p>
    <w:p w14:paraId="5A14D395">
      <w:pPr>
        <w:spacing w:line="300" w:lineRule="auto"/>
        <w:ind w:firstLine="420" w:firstLineChars="200"/>
        <w:rPr>
          <w:rFonts w:asciiTheme="minorEastAsia" w:hAnsiTheme="minorEastAsia" w:eastAsiaTheme="minorEastAsia"/>
          <w:bCs/>
          <w:highlight w:val="none"/>
        </w:rPr>
      </w:pPr>
    </w:p>
    <w:p w14:paraId="0A6EAAB8">
      <w:pPr>
        <w:spacing w:line="360" w:lineRule="auto"/>
        <w:rPr>
          <w:rFonts w:ascii="黑体" w:hAnsi="黑体" w:eastAsia="黑体"/>
          <w:sz w:val="24"/>
          <w:highlight w:val="none"/>
        </w:rPr>
      </w:pPr>
      <w:r>
        <w:rPr>
          <w:rFonts w:hint="eastAsia" w:ascii="黑体" w:hAnsi="黑体" w:eastAsia="黑体"/>
          <w:sz w:val="24"/>
          <w:highlight w:val="none"/>
        </w:rPr>
        <w:t>五、案例分析题</w:t>
      </w:r>
    </w:p>
    <w:p w14:paraId="4BE4CC9D">
      <w:pPr>
        <w:spacing w:line="300" w:lineRule="auto"/>
        <w:ind w:firstLine="420" w:firstLineChars="200"/>
        <w:rPr>
          <w:rFonts w:asciiTheme="minorEastAsia" w:hAnsiTheme="minorEastAsia" w:eastAsiaTheme="minorEastAsia"/>
          <w:bCs/>
          <w:highlight w:val="none"/>
        </w:rPr>
      </w:pPr>
      <w:r>
        <w:rPr>
          <w:rFonts w:hint="eastAsia" w:asciiTheme="minorEastAsia" w:hAnsiTheme="minorEastAsia" w:eastAsiaTheme="minorEastAsia"/>
          <w:bCs/>
          <w:highlight w:val="none"/>
        </w:rPr>
        <w:t>在中国电商市场竞争白热化与国民消费升级的时代背景下，网易严选以ODM模式开始品质电商的运营，与传统品牌相比，网易严选直接与国际大牌制造商合作，剔除品牌溢价等中间环节，保证了产品的高质低价。然而，上线之初的网易严选因为一则广告，引发了各界对其涉嫌“抄袭”的质疑。争议之后，随着对ODM模式的认知，网易严选开始受到消费者的认可，上线一年多便取得可观业绩。</w:t>
      </w:r>
    </w:p>
    <w:p w14:paraId="3DF53D47">
      <w:pPr>
        <w:spacing w:line="300" w:lineRule="auto"/>
        <w:ind w:firstLine="420" w:firstLineChars="200"/>
        <w:rPr>
          <w:rFonts w:asciiTheme="minorEastAsia" w:hAnsiTheme="minorEastAsia" w:eastAsiaTheme="minorEastAsia"/>
          <w:bCs/>
          <w:highlight w:val="none"/>
        </w:rPr>
      </w:pPr>
      <w:r>
        <w:rPr>
          <w:rFonts w:hint="eastAsia" w:asciiTheme="minorEastAsia" w:hAnsiTheme="minorEastAsia" w:eastAsiaTheme="minorEastAsia"/>
          <w:bCs/>
          <w:highlight w:val="none"/>
        </w:rPr>
        <w:t>对于网易的电商版图，CEO丁磊认为，电商核心应该是“共享美好”，甄选世间好物给国人，“我每年在全世界跑，想把性价比最高的商品介绍给国人，但最后发现，绝大多数高品质又不贵的商品，原产地是在中国，可是在国内却很难买到让人满意的商品。”</w:t>
      </w:r>
    </w:p>
    <w:p w14:paraId="1A34C5B4">
      <w:pPr>
        <w:spacing w:line="300" w:lineRule="auto"/>
        <w:ind w:firstLine="420" w:firstLineChars="200"/>
        <w:rPr>
          <w:rFonts w:asciiTheme="minorEastAsia" w:hAnsiTheme="minorEastAsia" w:eastAsiaTheme="minorEastAsia"/>
          <w:bCs/>
          <w:highlight w:val="none"/>
        </w:rPr>
      </w:pPr>
      <w:r>
        <w:rPr>
          <w:rFonts w:hint="eastAsia" w:asciiTheme="minorEastAsia" w:hAnsiTheme="minorEastAsia" w:eastAsiaTheme="minorEastAsia"/>
          <w:bCs/>
          <w:highlight w:val="none"/>
        </w:rPr>
        <w:t>随着社会信息化进程的加快，特别是互联网的高速发展，电子商务作为较先进的商业模式在中国快速兴起并呈现蓬勃发展之势。近几年，中国电子商务交易规模一直保持较快增速，年增速平均为GDP（7%-9%）的2-3倍。自2010年突破4万亿元以来，中国电子商务交易额每年以人民币2万亿元左右的增幅增长，日益成为拉动国民经济增长的重要动力和引擎。</w:t>
      </w:r>
    </w:p>
    <w:p w14:paraId="3EB050DF">
      <w:pPr>
        <w:spacing w:line="300" w:lineRule="auto"/>
        <w:ind w:firstLine="420" w:firstLineChars="200"/>
        <w:rPr>
          <w:rFonts w:asciiTheme="minorEastAsia" w:hAnsiTheme="minorEastAsia" w:eastAsiaTheme="minorEastAsia"/>
          <w:bCs/>
          <w:highlight w:val="none"/>
        </w:rPr>
      </w:pPr>
      <w:r>
        <w:rPr>
          <w:rFonts w:hint="eastAsia" w:asciiTheme="minorEastAsia" w:hAnsiTheme="minorEastAsia" w:eastAsiaTheme="minorEastAsia"/>
          <w:bCs/>
          <w:highlight w:val="none"/>
        </w:rPr>
        <w:t>艾瑞咨询《2015年中国互联网经济核心数据》显示，2015年网络购物市场B2C所占份额为51.9%，品牌电商首次超越了C2C电商。中国电子商务中心《2016年中国网络消费报告与网购指南》指出，51.5%的网购用户在购物时最看重品牌，45.6%的用户最看重品质。用户对品质的需求，加速了品质电商的时代提前开启。以一二线城市为代表的中产阶层的崛起和国民消费水平的提升，表明国人的消费需求正适应从“满足日常需求”到“提升生活品质”的转变，对商品的个性、品质、文化内涵等属性的考量开始增加。在判断性价比的时候，人们会更多地关注代表某种价值观或精神主张的品牌价值，而不仅仅是依靠价格做出判断。中国贸促会研究院国际贸易研究部主任赵萍曾表示，在本轮消费升级中，炫耀型消费淡出，品质消费将呈现爆发式增长，品牌认知走过符号阶段，真正的品牌消费开始崛起。在未来的发展中，品位消费潜力巨大，品格消费方兴未艾，人们将在未来的消费中更多地关注对个性与个人素养等品格的体现。</w:t>
      </w:r>
    </w:p>
    <w:p w14:paraId="6D0D9A74">
      <w:pPr>
        <w:spacing w:line="300" w:lineRule="auto"/>
        <w:ind w:firstLine="420" w:firstLineChars="200"/>
        <w:rPr>
          <w:rFonts w:asciiTheme="minorEastAsia" w:hAnsiTheme="minorEastAsia" w:eastAsiaTheme="minorEastAsia"/>
          <w:bCs/>
          <w:highlight w:val="none"/>
        </w:rPr>
      </w:pPr>
      <w:r>
        <w:rPr>
          <w:rFonts w:hint="eastAsia" w:asciiTheme="minorEastAsia" w:hAnsiTheme="minorEastAsia" w:eastAsiaTheme="minorEastAsia"/>
          <w:bCs/>
          <w:highlight w:val="none"/>
        </w:rPr>
        <w:t>网易严选的创始团队成员发现了大牌商品高售价低成本背后的秘密，带领项目组跑遍了中国，顺着产业链，一家一家地找到了大品牌的代工厂——广州的德国厨具制造商、江苏的日本家纺制造商、浙江的日本保温杯制造商……这些工厂的生产长期为一线品牌代工，在原材料、设备、工艺、管理上，都已具备了国际一流水准。无独有偶，这些工厂过去依靠大品牌的批量订单就可以高枕无忧的日子其实也早已面临危机——一方面，由于中国的人力成本大幅上升，一些国际品牌已经将订单逐渐转移到柬埔寨、越南等地；另一方面，一些有实力的工厂已经不甘心仅仅充当默默无闻的幕后工厂，他们需要树立自己的品牌，另谋出路。就这样，这些工厂与严选组久旱逢甘霖一般一拍即合。 确定供应商后，严选采用了“纵向价格系统”的策略，所有商品售价遵循“成本价+增值税+邮费”规则，通过M2C（Manufactory to Customer）的“短路经济”，连接消费者和工厂。这样的好处是可以根据成本定价，消除品牌溢价，挤掉大量的广告公关成本，以及传统销售模式因各级经销商、商场专柜及产生的费用；同时，又可以经由一线大牌制作商供货，与大品牌采用同等的材料、做工，保证商品的高品质。严选的目标是让消费者们能以白菜价，享受大品牌商品带来的品质感。</w:t>
      </w:r>
    </w:p>
    <w:p w14:paraId="1AD6F344">
      <w:pPr>
        <w:spacing w:line="300" w:lineRule="auto"/>
        <w:ind w:firstLine="420" w:firstLineChars="200"/>
        <w:rPr>
          <w:rFonts w:asciiTheme="minorEastAsia" w:hAnsiTheme="minorEastAsia" w:eastAsiaTheme="minorEastAsia"/>
          <w:bCs/>
          <w:highlight w:val="none"/>
        </w:rPr>
      </w:pPr>
      <w:r>
        <w:rPr>
          <w:rFonts w:hint="eastAsia" w:asciiTheme="minorEastAsia" w:hAnsiTheme="minorEastAsia" w:eastAsiaTheme="minorEastAsia"/>
          <w:bCs/>
          <w:highlight w:val="none"/>
        </w:rPr>
        <w:t>2015年11月，网易严选测试版推出，主张“以严谨的态度，为中国消费者甄选天下优品”。虽然平台上商品品类还较少，画风极简但各有特色，一向慢热的网易走起了精挑细选慢时尚的电商路线。为了赢取用户的信任，严选团队严格把控选品、原料采购、生产、销售、物流、售后等各个环节，甚至还深入原料核心实地探访，优中选优，确保品质。所有供应商都要符合中国CCC认证、英国UL认证、欧洲CE认证等，所有商品至少通过SGS、BV、ITS等全球TOP第三方质检机构检验。此外，网易严选还成立了“甄选家”团队，由各行业专家、生活达人、严选用户组成，全程跟进选品、生产、质检和上架，进而帮助严选不断完善产品和用户体验。</w:t>
      </w:r>
    </w:p>
    <w:p w14:paraId="2E7D04C7">
      <w:pPr>
        <w:spacing w:line="300" w:lineRule="auto"/>
        <w:ind w:firstLine="420" w:firstLineChars="200"/>
        <w:rPr>
          <w:rFonts w:asciiTheme="minorEastAsia" w:hAnsiTheme="minorEastAsia" w:eastAsiaTheme="minorEastAsia"/>
          <w:bCs/>
          <w:highlight w:val="none"/>
        </w:rPr>
      </w:pPr>
      <w:r>
        <w:rPr>
          <w:rFonts w:hint="eastAsia" w:asciiTheme="minorEastAsia" w:hAnsiTheme="minorEastAsia" w:eastAsiaTheme="minorEastAsia"/>
          <w:bCs/>
          <w:highlight w:val="none"/>
        </w:rPr>
        <w:t>上线之初的网易严选没有选择入驻天猫、京东等电商平台，而是利用网易的品牌背书和网易邮箱庞大的用户群体，吸引门户网站和邮箱等大量自有流量。2016年1月4日，网易严选在微博上发出了自己的第一条微博广告，重点推荐了“与大牌同制造商”的这一产品特色。平台产品主要以居家、厨房等产品为主，由一线品牌制造商直供，以剔除品牌溢价。“采用同样的材质，来自同样的制造商。好的生活，没那么贵。”这是网易严选这组广告中的广告语，并配图与各大知名家居品牌对比。原本想打造“同品不同价”的概念，然而这样赤裸裸的比较，引来了山寨、抄袭的质疑，甚至涉及到侵权问题，搬起石头砸了自己的脚。</w:t>
      </w:r>
    </w:p>
    <w:p w14:paraId="3DD1E872">
      <w:pPr>
        <w:spacing w:line="300" w:lineRule="auto"/>
        <w:ind w:firstLine="420" w:firstLineChars="200"/>
        <w:rPr>
          <w:rFonts w:asciiTheme="minorEastAsia" w:hAnsiTheme="minorEastAsia" w:eastAsiaTheme="minorEastAsia"/>
          <w:bCs/>
          <w:highlight w:val="none"/>
        </w:rPr>
      </w:pPr>
      <w:r>
        <w:rPr>
          <w:rFonts w:hint="eastAsia" w:asciiTheme="minorEastAsia" w:hAnsiTheme="minorEastAsia" w:eastAsiaTheme="minorEastAsia"/>
          <w:bCs/>
          <w:highlight w:val="none"/>
        </w:rPr>
        <w:t>除了对于“山寨”的质疑，有些网友还指出“网易严选”的广告可能涉嫌违反《广告法》，因为《广告法》第69条规定，在广告中未经同意使用他人名义或者形象的，是侵权行为，应承担民事责任。而在网易的广告中，就出现了无印良品、象印、双立人等品牌，更有一些专业的网友对于“网易严选”宣称自己的产品来自于国际大牌的“同一制造商”表示严重怀疑，理由是通常来说国际大品牌作为甲方，都会要求工厂签订非常严格的保密协议，比如不得将自己的产品原材料和设计泄露给他人。</w:t>
      </w:r>
    </w:p>
    <w:p w14:paraId="1C5755D5">
      <w:pPr>
        <w:spacing w:line="300" w:lineRule="auto"/>
        <w:ind w:firstLine="420" w:firstLineChars="200"/>
        <w:rPr>
          <w:rFonts w:asciiTheme="minorEastAsia" w:hAnsiTheme="minorEastAsia" w:eastAsiaTheme="minorEastAsia"/>
          <w:bCs/>
          <w:highlight w:val="none"/>
        </w:rPr>
      </w:pPr>
      <w:r>
        <w:rPr>
          <w:rFonts w:hint="eastAsia" w:asciiTheme="minorEastAsia" w:hAnsiTheme="minorEastAsia" w:eastAsiaTheme="minorEastAsia"/>
          <w:bCs/>
          <w:highlight w:val="none"/>
        </w:rPr>
        <w:t xml:space="preserve">面对这些“突如其来”又“汹涌澎湃”的质疑，网易严选为自己“粗暴的广告表达方式”进行诚恳道歉，表达了知错就改的态度，并解释道：严选是一个ODM模式的电商，ODM的直译是“原始设计制造商”，指制造商设计出其产品后，可能会被一些品牌方选中，要求配上各自的品牌名称或者稍做改良来生产。简单来说，若无特殊协议，在ODM模式中，产品的外观、面料、尺寸等权益归属方是制造商而非品牌方。几天后，网易严选修改了自己的广告图片并再次发布了一个声明：《初衷、反思和未来》，表示严选从创立之初，就设立了两个目标：一是一切从用户出 发，二是做最好的ODM电商。并且提到说“中国制造在很多领域已经领先全球”，很多国际大牌都采用ODM模式采购中国制造。 </w:t>
      </w:r>
    </w:p>
    <w:p w14:paraId="4319946C">
      <w:pPr>
        <w:spacing w:line="300" w:lineRule="auto"/>
        <w:ind w:firstLine="420" w:firstLineChars="200"/>
        <w:rPr>
          <w:rFonts w:asciiTheme="minorEastAsia" w:hAnsiTheme="minorEastAsia" w:eastAsiaTheme="minorEastAsia"/>
          <w:bCs/>
          <w:highlight w:val="none"/>
        </w:rPr>
      </w:pPr>
      <w:r>
        <w:rPr>
          <w:rFonts w:hint="eastAsia" w:asciiTheme="minorEastAsia" w:hAnsiTheme="minorEastAsia" w:eastAsiaTheme="minorEastAsia"/>
          <w:bCs/>
          <w:highlight w:val="none"/>
        </w:rPr>
        <w:t>在网易严选的两次声明中，ODM无疑都是最抢眼的字眼。事实上，围绕网易严选产生的是非争议，根源也在于对ODM一词的理解上。而随着网易严选发布的声明，“ODM模式”也从制造业领域进入到消费者的认知。ODM即原始设计制造商模式，是指由制造商设计出某产品后，被品牌方选中，配上品牌名称或稍作改良进行批量生产。若无特殊协议，在ODM模式中产品的外观、面料、设计甚至细微功能的专利技术等权益归属于制造商，制造商可将其方案和产品一并售于多个品牌方，品牌方出于成本考虑一般不会选择买断这些权益。ODM生产商位于价值链“微笑曲线”的两端之一，占据较高产品附加值。与OEM相比，ODM产商一般在规模、研发、议价能力等方面具备显著优势。</w:t>
      </w:r>
    </w:p>
    <w:p w14:paraId="35D69157">
      <w:pPr>
        <w:spacing w:line="300" w:lineRule="auto"/>
        <w:ind w:firstLine="420" w:firstLineChars="200"/>
        <w:rPr>
          <w:rFonts w:asciiTheme="minorEastAsia" w:hAnsiTheme="minorEastAsia" w:eastAsiaTheme="minorEastAsia"/>
          <w:bCs/>
          <w:highlight w:val="none"/>
        </w:rPr>
      </w:pPr>
      <w:r>
        <w:rPr>
          <w:rFonts w:hint="eastAsia" w:asciiTheme="minorEastAsia" w:hAnsiTheme="minorEastAsia" w:eastAsiaTheme="minorEastAsia"/>
          <w:bCs/>
          <w:highlight w:val="none"/>
        </w:rPr>
        <w:t>随后，网易CEO丁磊也多次为网易严选站台，对外诠释网易严选的本质是一个创新商业模式的电商产品，与传统商业模式的产品研发到制造再到商超、电商渠道营销的整体流程相比，网易严选通过去掉高昂品牌溢价、挤掉广告公关成本、剔除中间环、摒弃传统销售模式，使价格回归理性，从而为用户提供物超所值的品质生活产品。严选的采购人员甚至深入各个原材料的核心产区，从原料选择到产品设计、打样都与制造商保持密切沟通，以从根本上保证产品质量。</w:t>
      </w:r>
    </w:p>
    <w:p w14:paraId="4FBB0527">
      <w:pPr>
        <w:spacing w:line="300" w:lineRule="auto"/>
        <w:ind w:firstLine="420" w:firstLineChars="200"/>
        <w:rPr>
          <w:rFonts w:asciiTheme="minorEastAsia" w:hAnsiTheme="minorEastAsia" w:eastAsiaTheme="minorEastAsia"/>
          <w:bCs/>
          <w:highlight w:val="none"/>
        </w:rPr>
      </w:pPr>
      <w:r>
        <w:rPr>
          <w:rFonts w:hint="eastAsia" w:asciiTheme="minorEastAsia" w:hAnsiTheme="minorEastAsia" w:eastAsiaTheme="minorEastAsia"/>
          <w:bCs/>
          <w:highlight w:val="none"/>
        </w:rPr>
        <w:t>解释至此，网易严选已被大部分用户买账，微博热门评论也从骂声转变成“支持高性价比国货”、“网易严选诚意满满”、“网易出品，必属精品”。从网易严选的第一条广告引发的各界争议，到支持ODM模式下的“新国货”，满城风雨之后却也让人在流量与话题中重新认识了网易严选。ODM的概念也被推上了电商舞台，这让网易严选不但回避了法务上的争议，还一定程度上在“中国制造”上找到了道德立足点。</w:t>
      </w:r>
    </w:p>
    <w:p w14:paraId="57E133E2">
      <w:pPr>
        <w:spacing w:line="300" w:lineRule="auto"/>
        <w:ind w:firstLine="420" w:firstLineChars="200"/>
        <w:rPr>
          <w:rFonts w:asciiTheme="minorEastAsia" w:hAnsiTheme="minorEastAsia" w:eastAsiaTheme="minorEastAsia"/>
          <w:bCs/>
          <w:highlight w:val="none"/>
        </w:rPr>
      </w:pPr>
      <w:r>
        <w:rPr>
          <w:rFonts w:hint="eastAsia" w:asciiTheme="minorEastAsia" w:hAnsiTheme="minorEastAsia" w:eastAsiaTheme="minorEastAsia"/>
          <w:bCs/>
          <w:highlight w:val="none"/>
        </w:rPr>
        <w:t>（案例信息根据网络资料整理改编而成，仅作考试用途。）</w:t>
      </w:r>
    </w:p>
    <w:p w14:paraId="241D1693">
      <w:pPr>
        <w:spacing w:before="156" w:beforeLines="50" w:line="300" w:lineRule="auto"/>
        <w:rPr>
          <w:rFonts w:asciiTheme="minorEastAsia" w:hAnsiTheme="minorEastAsia" w:eastAsiaTheme="minorEastAsia"/>
          <w:b/>
          <w:bCs/>
          <w:highlight w:val="none"/>
        </w:rPr>
      </w:pPr>
      <w:r>
        <w:rPr>
          <w:rFonts w:asciiTheme="minorEastAsia" w:hAnsiTheme="minorEastAsia"/>
          <w:b/>
          <w:bCs/>
          <w:highlight w:val="none"/>
        </w:rPr>
        <w:t>请结合案例材料</w:t>
      </w:r>
      <w:r>
        <w:rPr>
          <w:rFonts w:hint="eastAsia" w:asciiTheme="minorEastAsia" w:hAnsiTheme="minorEastAsia"/>
          <w:b/>
          <w:bCs/>
          <w:highlight w:val="none"/>
        </w:rPr>
        <w:t>，</w:t>
      </w:r>
      <w:r>
        <w:rPr>
          <w:rFonts w:asciiTheme="minorEastAsia" w:hAnsiTheme="minorEastAsia"/>
          <w:b/>
          <w:bCs/>
          <w:highlight w:val="none"/>
        </w:rPr>
        <w:t>回答以下问题</w:t>
      </w:r>
      <w:r>
        <w:rPr>
          <w:rFonts w:hint="eastAsia" w:asciiTheme="minorEastAsia" w:hAnsiTheme="minorEastAsia"/>
          <w:b/>
          <w:bCs/>
          <w:highlight w:val="none"/>
        </w:rPr>
        <w:t>：</w:t>
      </w:r>
    </w:p>
    <w:p w14:paraId="22B47E5B">
      <w:pPr>
        <w:spacing w:line="300" w:lineRule="auto"/>
        <w:ind w:firstLine="420" w:firstLineChars="200"/>
        <w:rPr>
          <w:rFonts w:asciiTheme="minorEastAsia" w:hAnsiTheme="minorEastAsia"/>
          <w:bCs/>
          <w:highlight w:val="none"/>
        </w:rPr>
      </w:pPr>
      <w:r>
        <w:rPr>
          <w:rFonts w:hint="eastAsia" w:asciiTheme="minorEastAsia" w:hAnsiTheme="minorEastAsia" w:eastAsiaTheme="minorEastAsia"/>
          <w:bCs/>
          <w:highlight w:val="none"/>
        </w:rPr>
        <w:t>1、2016年的国内零售电商环境发生了哪些变化？</w:t>
      </w:r>
    </w:p>
    <w:p w14:paraId="4BF31870">
      <w:pPr>
        <w:spacing w:line="300" w:lineRule="auto"/>
        <w:rPr>
          <w:rFonts w:asciiTheme="minorEastAsia" w:hAnsiTheme="minorEastAsia"/>
          <w:bCs/>
          <w:highlight w:val="none"/>
        </w:rPr>
      </w:pPr>
    </w:p>
    <w:p w14:paraId="126E75D8">
      <w:pPr>
        <w:spacing w:line="300" w:lineRule="auto"/>
        <w:rPr>
          <w:rFonts w:asciiTheme="minorEastAsia" w:hAnsiTheme="minorEastAsia"/>
          <w:bCs/>
          <w:highlight w:val="none"/>
        </w:rPr>
      </w:pPr>
    </w:p>
    <w:p w14:paraId="2F801DF3">
      <w:pPr>
        <w:spacing w:line="300" w:lineRule="auto"/>
        <w:rPr>
          <w:rFonts w:asciiTheme="minorEastAsia" w:hAnsiTheme="minorEastAsia"/>
          <w:bCs/>
          <w:highlight w:val="none"/>
        </w:rPr>
      </w:pPr>
    </w:p>
    <w:p w14:paraId="14CA005A">
      <w:pPr>
        <w:spacing w:line="300" w:lineRule="auto"/>
        <w:rPr>
          <w:rFonts w:asciiTheme="minorEastAsia" w:hAnsiTheme="minorEastAsia"/>
          <w:bCs/>
          <w:highlight w:val="none"/>
        </w:rPr>
      </w:pPr>
    </w:p>
    <w:p w14:paraId="179B63F2">
      <w:pPr>
        <w:spacing w:line="300" w:lineRule="auto"/>
        <w:rPr>
          <w:rFonts w:asciiTheme="minorEastAsia" w:hAnsiTheme="minorEastAsia"/>
          <w:bCs/>
          <w:highlight w:val="none"/>
        </w:rPr>
      </w:pPr>
    </w:p>
    <w:p w14:paraId="76AC1F13">
      <w:pPr>
        <w:spacing w:line="300" w:lineRule="auto"/>
        <w:rPr>
          <w:rFonts w:asciiTheme="minorEastAsia" w:hAnsiTheme="minorEastAsia"/>
          <w:bCs/>
          <w:highlight w:val="none"/>
        </w:rPr>
      </w:pPr>
    </w:p>
    <w:p w14:paraId="7B4AEEBE">
      <w:pPr>
        <w:spacing w:line="300" w:lineRule="auto"/>
        <w:rPr>
          <w:rFonts w:asciiTheme="minorEastAsia" w:hAnsiTheme="minorEastAsia"/>
          <w:bCs/>
          <w:highlight w:val="none"/>
        </w:rPr>
      </w:pPr>
    </w:p>
    <w:p w14:paraId="12E56AA3">
      <w:pPr>
        <w:spacing w:line="300" w:lineRule="auto"/>
        <w:rPr>
          <w:rFonts w:asciiTheme="minorEastAsia" w:hAnsiTheme="minorEastAsia"/>
          <w:bCs/>
          <w:highlight w:val="none"/>
        </w:rPr>
      </w:pPr>
    </w:p>
    <w:p w14:paraId="34CD7C32">
      <w:pPr>
        <w:spacing w:line="300" w:lineRule="auto"/>
        <w:rPr>
          <w:rFonts w:asciiTheme="minorEastAsia" w:hAnsiTheme="minorEastAsia"/>
          <w:bCs/>
          <w:highlight w:val="none"/>
        </w:rPr>
      </w:pPr>
    </w:p>
    <w:p w14:paraId="123B1316">
      <w:pPr>
        <w:spacing w:line="300" w:lineRule="auto"/>
        <w:rPr>
          <w:rFonts w:asciiTheme="minorEastAsia" w:hAnsiTheme="minorEastAsia"/>
          <w:bCs/>
          <w:highlight w:val="none"/>
        </w:rPr>
      </w:pPr>
    </w:p>
    <w:p w14:paraId="45B391AE">
      <w:pPr>
        <w:spacing w:line="300" w:lineRule="auto"/>
        <w:rPr>
          <w:rFonts w:asciiTheme="minorEastAsia" w:hAnsiTheme="minorEastAsia"/>
          <w:bCs/>
          <w:highlight w:val="none"/>
        </w:rPr>
      </w:pPr>
    </w:p>
    <w:p w14:paraId="3CDE8683">
      <w:pPr>
        <w:pStyle w:val="11"/>
        <w:spacing w:line="300" w:lineRule="auto"/>
        <w:ind w:left="360" w:firstLine="0" w:firstLineChars="0"/>
        <w:rPr>
          <w:rFonts w:asciiTheme="minorEastAsia" w:hAnsiTheme="minorEastAsia" w:eastAsiaTheme="minorEastAsia"/>
          <w:bCs/>
          <w:highlight w:val="none"/>
        </w:rPr>
      </w:pPr>
      <w:r>
        <w:rPr>
          <w:rFonts w:hint="eastAsia" w:asciiTheme="minorEastAsia" w:hAnsiTheme="minorEastAsia" w:eastAsiaTheme="minorEastAsia"/>
          <w:bCs/>
          <w:highlight w:val="none"/>
        </w:rPr>
        <w:t>2、这些变化给网易严选带来了什么样的机遇与挑战？</w:t>
      </w:r>
    </w:p>
    <w:p w14:paraId="5F6E3E46">
      <w:pPr>
        <w:spacing w:line="300" w:lineRule="auto"/>
        <w:rPr>
          <w:rFonts w:asciiTheme="minorEastAsia" w:hAnsiTheme="minorEastAsia"/>
          <w:bCs/>
          <w:highlight w:val="none"/>
        </w:rPr>
      </w:pPr>
    </w:p>
    <w:p w14:paraId="0B6174BF">
      <w:pPr>
        <w:spacing w:line="300" w:lineRule="auto"/>
        <w:rPr>
          <w:rFonts w:asciiTheme="minorEastAsia" w:hAnsiTheme="minorEastAsia"/>
          <w:bCs/>
          <w:highlight w:val="none"/>
        </w:rPr>
      </w:pPr>
    </w:p>
    <w:p w14:paraId="713A13E9">
      <w:pPr>
        <w:spacing w:line="300" w:lineRule="auto"/>
        <w:rPr>
          <w:rFonts w:asciiTheme="minorEastAsia" w:hAnsiTheme="minorEastAsia"/>
          <w:bCs/>
          <w:highlight w:val="none"/>
        </w:rPr>
      </w:pPr>
    </w:p>
    <w:p w14:paraId="0C9FBD57">
      <w:pPr>
        <w:spacing w:line="300" w:lineRule="auto"/>
        <w:rPr>
          <w:rFonts w:asciiTheme="minorEastAsia" w:hAnsiTheme="minorEastAsia"/>
          <w:bCs/>
          <w:highlight w:val="none"/>
        </w:rPr>
      </w:pPr>
    </w:p>
    <w:p w14:paraId="3405B552">
      <w:pPr>
        <w:spacing w:line="300" w:lineRule="auto"/>
        <w:rPr>
          <w:rFonts w:asciiTheme="minorEastAsia" w:hAnsiTheme="minorEastAsia"/>
          <w:bCs/>
          <w:highlight w:val="none"/>
        </w:rPr>
      </w:pPr>
    </w:p>
    <w:p w14:paraId="3ADF78C5">
      <w:pPr>
        <w:spacing w:line="300" w:lineRule="auto"/>
        <w:rPr>
          <w:rFonts w:asciiTheme="minorEastAsia" w:hAnsiTheme="minorEastAsia"/>
          <w:bCs/>
          <w:highlight w:val="none"/>
        </w:rPr>
      </w:pPr>
    </w:p>
    <w:p w14:paraId="403CFF4E">
      <w:pPr>
        <w:spacing w:line="300" w:lineRule="auto"/>
        <w:rPr>
          <w:rFonts w:asciiTheme="minorEastAsia" w:hAnsiTheme="minorEastAsia"/>
          <w:bCs/>
          <w:highlight w:val="none"/>
        </w:rPr>
      </w:pPr>
    </w:p>
    <w:p w14:paraId="5036DD2F">
      <w:pPr>
        <w:spacing w:line="300" w:lineRule="auto"/>
        <w:rPr>
          <w:rFonts w:asciiTheme="minorEastAsia" w:hAnsiTheme="minorEastAsia"/>
          <w:bCs/>
          <w:highlight w:val="none"/>
        </w:rPr>
      </w:pPr>
    </w:p>
    <w:p w14:paraId="0022097D">
      <w:pPr>
        <w:spacing w:line="300" w:lineRule="auto"/>
        <w:rPr>
          <w:rFonts w:asciiTheme="minorEastAsia" w:hAnsiTheme="minorEastAsia"/>
          <w:bCs/>
          <w:highlight w:val="none"/>
        </w:rPr>
      </w:pPr>
    </w:p>
    <w:p w14:paraId="69480000">
      <w:pPr>
        <w:spacing w:line="360" w:lineRule="auto"/>
        <w:rPr>
          <w:rFonts w:ascii="黑体" w:hAnsi="黑体" w:eastAsia="黑体"/>
          <w:sz w:val="24"/>
          <w:highlight w:val="none"/>
        </w:rPr>
      </w:pPr>
    </w:p>
    <w:p w14:paraId="155A3365">
      <w:pPr>
        <w:rPr>
          <w:sz w:val="24"/>
          <w:highlight w:val="none"/>
        </w:rPr>
      </w:pPr>
    </w:p>
    <w:p w14:paraId="611F261D">
      <w:pPr>
        <w:rPr>
          <w:highlight w:val="none"/>
        </w:rPr>
      </w:pPr>
    </w:p>
    <w:p w14:paraId="56BB44B2">
      <w:pPr>
        <w:spacing w:line="300" w:lineRule="auto"/>
        <w:ind w:firstLine="420" w:firstLineChars="200"/>
        <w:rPr>
          <w:rFonts w:ascii="宋体" w:hAnsi="宋体"/>
          <w:bCs/>
          <w:highlight w:val="none"/>
        </w:rPr>
      </w:pPr>
      <w:r>
        <w:rPr>
          <w:rFonts w:hint="eastAsia" w:ascii="宋体" w:hAnsi="宋体"/>
          <w:bCs/>
          <w:highlight w:val="none"/>
        </w:rPr>
        <w:t>全球爱奇艺，中国网络视频行业的改变者和领跑者，自成立伊始，爱奇艺坚持“悦享品质”的公司理念，以“用户体验”为生命，营造健康、可持续的发展之路。龚宇创立爱奇艺之前，不断的就有投资人找到他要做视频，但是，当时的环境和时机都不成熟。2004年至2009年获得风投的国内视频网站已经超过了35家，并且总金额高达10亿美元。但是，版权纠纷、成本过高还有缺乏盈利模式，让多数网站都处于生死边缘。同期，龚宇也在进行着判断，无线互联网、电子商务和新媒体是他认为的最有前景的领域。随后，百度和普罗维登斯基金向他递来橄榄枝，而彼时，他恰好也觉得做视频的时机成熟了。2010年4月22日由全球最大的中文搜索引擎——百度创立的“奇艺”视频正式上线，创始人龚宇博士担任CEO。2011年11月26日品牌升级，“奇艺”正式更名为“爱奇艺”，并推出全新标志。</w:t>
      </w:r>
    </w:p>
    <w:p w14:paraId="4A4C8F80">
      <w:pPr>
        <w:spacing w:line="300" w:lineRule="auto"/>
        <w:ind w:firstLine="422" w:firstLineChars="200"/>
        <w:rPr>
          <w:rFonts w:ascii="宋体" w:hAnsi="宋体"/>
          <w:b/>
          <w:bCs/>
          <w:highlight w:val="none"/>
        </w:rPr>
      </w:pPr>
      <w:r>
        <w:rPr>
          <w:rFonts w:hint="eastAsia" w:ascii="宋体" w:hAnsi="宋体"/>
          <w:b/>
          <w:bCs/>
          <w:highlight w:val="none"/>
        </w:rPr>
        <w:t>奇异内容：版权+自制</w:t>
      </w:r>
    </w:p>
    <w:p w14:paraId="015C6F4C">
      <w:pPr>
        <w:spacing w:line="300" w:lineRule="auto"/>
        <w:ind w:firstLine="420" w:firstLineChars="200"/>
        <w:rPr>
          <w:rFonts w:ascii="宋体" w:hAnsi="宋体"/>
          <w:bCs/>
          <w:highlight w:val="none"/>
        </w:rPr>
      </w:pPr>
      <w:r>
        <w:rPr>
          <w:rFonts w:hint="eastAsia" w:ascii="宋体" w:hAnsi="宋体"/>
          <w:bCs/>
          <w:highlight w:val="none"/>
        </w:rPr>
        <w:t>爱奇艺并非被动地等待好的内容出现，而是选择主动出击，在差异化中求发展。因为龚宇知道，目前企业是无法实现低成本价格优势，所以并不能把成本战略作为爱奇艺的战略目标，视频网站只有选择差异化战略作为主导战略，以形成核心竞争力。从爱奇艺实施竞争战略的条件可以看出，视频网站的同质性越来越严重，致使企业的地位岌岌可危，这时视频网站就必须寻求差异化，以突破困境。从2014年第四季度开始，爱奇艺将系统性大规模的投资自制内容，而且是高质量的。《奇葩说》、《我去上学啦》、《中国有嘻哈》等一系列自制综艺更是让爱奇艺在行业中遥遥领先。</w:t>
      </w:r>
    </w:p>
    <w:p w14:paraId="0D9EAF25">
      <w:pPr>
        <w:spacing w:line="300" w:lineRule="auto"/>
        <w:ind w:firstLine="420" w:firstLineChars="200"/>
        <w:rPr>
          <w:rFonts w:ascii="宋体" w:hAnsi="宋体"/>
          <w:bCs/>
          <w:highlight w:val="none"/>
        </w:rPr>
      </w:pPr>
      <w:r>
        <w:rPr>
          <w:rFonts w:hint="eastAsia" w:ascii="宋体" w:hAnsi="宋体"/>
          <w:bCs/>
          <w:highlight w:val="none"/>
        </w:rPr>
        <w:t>这也培养了网民对爱奇艺的忠诚度，让爱奇艺拥有稳定的用户和流量，进而获得盈利。2016年爱奇艺有20+版权剧和30+自制剧，内容仍然是爱奇艺会员的重要发力点。2017年，爱奇艺继续以“版权+自制”的内容战略，协同各方优质合作伙伴，为行业内外、产业链上下游提供开放共融的发展平台，提高平台的吸引力。</w:t>
      </w:r>
    </w:p>
    <w:p w14:paraId="0D570A1E">
      <w:pPr>
        <w:spacing w:line="300" w:lineRule="auto"/>
        <w:ind w:firstLine="422" w:firstLineChars="200"/>
        <w:rPr>
          <w:rFonts w:ascii="宋体" w:hAnsi="宋体"/>
          <w:b/>
          <w:bCs/>
          <w:highlight w:val="none"/>
        </w:rPr>
      </w:pPr>
      <w:r>
        <w:rPr>
          <w:rFonts w:hint="eastAsia" w:ascii="宋体" w:hAnsi="宋体"/>
          <w:b/>
          <w:bCs/>
          <w:highlight w:val="none"/>
        </w:rPr>
        <w:t>奇异广告：坚持技术创新</w:t>
      </w:r>
    </w:p>
    <w:p w14:paraId="29EFF289">
      <w:pPr>
        <w:spacing w:line="300" w:lineRule="auto"/>
        <w:ind w:firstLine="420" w:firstLineChars="200"/>
        <w:rPr>
          <w:rFonts w:ascii="宋体" w:hAnsi="宋体"/>
          <w:bCs/>
          <w:highlight w:val="none"/>
        </w:rPr>
      </w:pPr>
      <w:r>
        <w:rPr>
          <w:rFonts w:hint="eastAsia" w:ascii="宋体" w:hAnsi="宋体"/>
          <w:bCs/>
          <w:highlight w:val="none"/>
        </w:rPr>
        <w:t>2010年爱奇艺创立之初就推出专利技术“视链”。这使得用户在观影时,若想要了解画面中某人或某物信息,滑动鼠标至画面相应处,则立即闪现提示,出现有关信息介绍。滑动鼠标离开人物头像,则对应的提示会自动隐蔽。2012年爱奇艺依靠百度强大的搜索功能，实现了搜索与视频的广告的无缝连接。视链广告技术对于爱奇艺来说具有创新意义，尤其在网络广告传播上具有里程碑式的意义。它给广告主提供了更多创意可能，既能够深化品牌影响力，又可以获得更丰富的品牌联想，进而赢得广泛的认同以及提升品牌价值，使视频网站与广告主以及用户都达到双赢的良好效果。</w:t>
      </w:r>
    </w:p>
    <w:p w14:paraId="3CC78990">
      <w:pPr>
        <w:spacing w:line="300" w:lineRule="auto"/>
        <w:ind w:firstLine="420" w:firstLineChars="200"/>
        <w:rPr>
          <w:rFonts w:ascii="宋体" w:hAnsi="宋体"/>
          <w:bCs/>
          <w:highlight w:val="none"/>
        </w:rPr>
      </w:pPr>
      <w:r>
        <w:rPr>
          <w:rFonts w:hint="eastAsia" w:ascii="宋体" w:hAnsi="宋体"/>
          <w:bCs/>
          <w:highlight w:val="none"/>
        </w:rPr>
        <w:t>2017年以来，随着IP热的不断升级，爱奇艺仍以大数据为基础为广告主与IP内容的营销释放提供合作契机。从广告品效的角度出发，爱奇艺悦享营销的“IP软植入”将商业植入前置到优质内容制作期，让商业合作更自然有趣，提升用户好感度，同时完美搭配提升商业价值的 “IN广广告”产品，通过场景广告、原生广告、精准广告等多形式，帮助品牌实现软硬兼施、品效平衡的投放目标。</w:t>
      </w:r>
    </w:p>
    <w:p w14:paraId="62D41CB5">
      <w:pPr>
        <w:spacing w:line="300" w:lineRule="auto"/>
        <w:ind w:firstLine="422" w:firstLineChars="200"/>
        <w:rPr>
          <w:rFonts w:ascii="宋体" w:hAnsi="宋体"/>
          <w:b/>
          <w:bCs/>
          <w:highlight w:val="none"/>
        </w:rPr>
      </w:pPr>
      <w:r>
        <w:rPr>
          <w:rFonts w:hint="eastAsia" w:ascii="宋体" w:hAnsi="宋体"/>
          <w:b/>
          <w:bCs/>
          <w:highlight w:val="none"/>
        </w:rPr>
        <w:t>奇异理念：轻奢新主义</w:t>
      </w:r>
    </w:p>
    <w:p w14:paraId="1037CC41">
      <w:pPr>
        <w:spacing w:line="300" w:lineRule="auto"/>
        <w:ind w:firstLine="420" w:firstLineChars="200"/>
        <w:rPr>
          <w:rFonts w:ascii="宋体" w:hAnsi="宋体"/>
          <w:bCs/>
          <w:highlight w:val="none"/>
        </w:rPr>
      </w:pPr>
      <w:r>
        <w:rPr>
          <w:rFonts w:hint="eastAsia" w:ascii="宋体" w:hAnsi="宋体"/>
          <w:bCs/>
          <w:highlight w:val="none"/>
        </w:rPr>
        <w:t xml:space="preserve">2015年6月，爱奇艺率先发布VIP会员品牌及“轻奢新主义”品牌口号浮出水面，试图通过视频所代表的一种消费态度与实际生活的联结，在生活态度和生活品质方面表达爱奇艺的品牌主张和态度。“每一个消费者都应该能够用比较便宜合理的价格享受到有些奢侈的享受，这就是一种轻奢。”在提升观看质感方面，爱奇艺不遗余力。VIP的视频内容格式从1080P到 4K，建成中国最大的杜比内容片库，智能推荐系统读懂用户，丰富的会员专属活动，则向“轻奢”更进了一步。爱奇艺能够细分受众的年龄层次及需求层次，知道观众想看的是什么，对什么感兴趣，移动端基于 LBS 更能获得精准的定位数据，了解了用户之后你既知道他们感兴趣的视频类型，推荐他们感兴趣的视频等，带给客户不一样的体验。 </w:t>
      </w:r>
    </w:p>
    <w:p w14:paraId="5B7516ED">
      <w:pPr>
        <w:spacing w:line="300" w:lineRule="auto"/>
        <w:ind w:firstLine="420" w:firstLineChars="200"/>
        <w:rPr>
          <w:rFonts w:ascii="宋体" w:hAnsi="宋体"/>
          <w:bCs/>
          <w:highlight w:val="none"/>
        </w:rPr>
      </w:pPr>
      <w:r>
        <w:rPr>
          <w:rFonts w:hint="eastAsia" w:ascii="宋体" w:hAnsi="宋体"/>
          <w:bCs/>
          <w:highlight w:val="none"/>
        </w:rPr>
        <w:t>爱奇艺首先定位的受众是年轻人，所以整个界面非常年轻化，以富有生命力的绿为主，清新干净。爱奇艺的这个定位非常准确，年轻人接受新鲜事物的速度比较快，接受能力也比较高。轻奢新主义这一代表青春活力和积极生活态度的理念随之诞生，这一理念也在爱奇艺的各个方面持续发酵。在多元的社会交往中，轻奢早已超越了狭义的奢侈品，这种“把时间浪费在美好的事物上”的价值观，也成为了新时代人群爱生活、爱自己的生活态度。</w:t>
      </w:r>
    </w:p>
    <w:p w14:paraId="3B9ADBDC">
      <w:pPr>
        <w:spacing w:line="300" w:lineRule="auto"/>
        <w:ind w:firstLine="422" w:firstLineChars="200"/>
        <w:rPr>
          <w:rFonts w:ascii="宋体" w:hAnsi="宋体"/>
          <w:b/>
          <w:bCs/>
          <w:highlight w:val="none"/>
        </w:rPr>
      </w:pPr>
      <w:r>
        <w:rPr>
          <w:rFonts w:hint="eastAsia" w:ascii="宋体" w:hAnsi="宋体"/>
          <w:b/>
          <w:bCs/>
          <w:highlight w:val="none"/>
        </w:rPr>
        <w:t xml:space="preserve">奇异平台：社交 + 服务 </w:t>
      </w:r>
    </w:p>
    <w:p w14:paraId="3A887E7C">
      <w:pPr>
        <w:spacing w:line="300" w:lineRule="auto"/>
        <w:ind w:firstLine="420" w:firstLineChars="200"/>
        <w:rPr>
          <w:rFonts w:ascii="宋体" w:hAnsi="宋体"/>
          <w:bCs/>
          <w:highlight w:val="none"/>
        </w:rPr>
      </w:pPr>
      <w:r>
        <w:rPr>
          <w:rFonts w:hint="eastAsia" w:ascii="宋体" w:hAnsi="宋体"/>
          <w:bCs/>
          <w:highlight w:val="none"/>
        </w:rPr>
        <w:t>爱奇艺泡泡社区于2015年11月正式上线，并面向所有用户全面开放，仅仅半年时间，泡泡已吸引超过5亿粉丝加入。以明星、热门电影、热门电视剧、综艺节目、各种兴趣类为圈子，用户可以通过各个泡泡圈子了解明星、节目等消息，也可以在圈子中发布关于明星、节目等最新动态，还可以通过群聊和其他粉丝一起聊天。同时，泡泡不定期推出各种各样的明星活动，粉丝可以在泡泡圈内与明星在线互动聊天，收到的评论、赞、投票通知、官方信息和中奖通知全在这里，还有志同道合小伙伴的私聊群聊，还有机会参加明星见面会，首映礼等线下活动，获取海量明星周边礼品等。</w:t>
      </w:r>
    </w:p>
    <w:p w14:paraId="4F3B6D91">
      <w:pPr>
        <w:spacing w:line="300" w:lineRule="auto"/>
        <w:ind w:firstLine="420" w:firstLineChars="200"/>
        <w:rPr>
          <w:rFonts w:ascii="宋体" w:hAnsi="宋体"/>
          <w:bCs/>
          <w:highlight w:val="none"/>
        </w:rPr>
      </w:pPr>
      <w:r>
        <w:rPr>
          <w:rFonts w:hint="eastAsia" w:ascii="宋体" w:hAnsi="宋体"/>
          <w:bCs/>
          <w:highlight w:val="none"/>
        </w:rPr>
        <w:t xml:space="preserve">龚宇表示：“随着用户在视频网站停留时间的增加，使用粘性的不断提升，用户已经不再满足于单纯的视频观看及泛娱乐体验。爱奇艺泡泡社交平台将整合用户需求，推进明星、内容与用户互动模式的创新，更好的满足人们对于泛娱乐电商、直播、文学等垂直IP应用的使用需要，为用户打造一站式的全新互联网娱乐体验。” </w:t>
      </w:r>
    </w:p>
    <w:p w14:paraId="69A41DCA">
      <w:pPr>
        <w:spacing w:line="300" w:lineRule="auto"/>
        <w:ind w:firstLine="420" w:firstLineChars="200"/>
        <w:rPr>
          <w:rFonts w:ascii="宋体" w:hAnsi="宋体"/>
          <w:bCs/>
          <w:highlight w:val="none"/>
        </w:rPr>
      </w:pPr>
      <w:r>
        <w:rPr>
          <w:rFonts w:hint="eastAsia" w:ascii="宋体" w:hAnsi="宋体"/>
          <w:bCs/>
          <w:highlight w:val="none"/>
        </w:rPr>
        <w:t>爱奇艺7.0版本在应用内添加了电影票、奇秀、商城和活动的入口，意味着爱奇艺的定位不再仅是一个视频内容观看的网站，更增加了视频相关的一系列新的服务，使得爱奇艺成为一家综合视频门户。通过视频内容吸引流量，并进一步将流量转化到视频相关的其他服务当中，是凭借爱奇艺的流量做变现。这也代表视频网站终于走上移动入口这条路。</w:t>
      </w:r>
    </w:p>
    <w:p w14:paraId="66D17A12">
      <w:pPr>
        <w:spacing w:line="300" w:lineRule="auto"/>
        <w:ind w:firstLine="420" w:firstLineChars="200"/>
        <w:rPr>
          <w:rFonts w:ascii="宋体" w:hAnsi="宋体"/>
          <w:bCs/>
          <w:highlight w:val="none"/>
        </w:rPr>
      </w:pPr>
      <w:r>
        <w:rPr>
          <w:rFonts w:hint="eastAsia" w:ascii="宋体" w:hAnsi="宋体"/>
          <w:bCs/>
          <w:highlight w:val="none"/>
        </w:rPr>
        <w:t>（案例信息根据网络资料整理改编而成，仅作考试用途。）</w:t>
      </w:r>
    </w:p>
    <w:p w14:paraId="6CB792E3">
      <w:pPr>
        <w:spacing w:line="300" w:lineRule="auto"/>
        <w:rPr>
          <w:rFonts w:ascii="宋体" w:hAnsi="宋体"/>
          <w:bCs/>
          <w:highlight w:val="none"/>
        </w:rPr>
      </w:pPr>
    </w:p>
    <w:p w14:paraId="4453A11B">
      <w:pPr>
        <w:spacing w:line="300" w:lineRule="auto"/>
        <w:rPr>
          <w:rFonts w:ascii="宋体" w:hAnsi="宋体"/>
          <w:bCs/>
          <w:highlight w:val="none"/>
        </w:rPr>
      </w:pPr>
      <w:r>
        <w:rPr>
          <w:rFonts w:ascii="宋体" w:hAnsi="宋体"/>
          <w:b/>
          <w:bCs/>
          <w:highlight w:val="none"/>
        </w:rPr>
        <w:t>请结合案例材料</w:t>
      </w:r>
      <w:r>
        <w:rPr>
          <w:rFonts w:hint="eastAsia" w:ascii="宋体" w:hAnsi="宋体"/>
          <w:b/>
          <w:bCs/>
          <w:highlight w:val="none"/>
        </w:rPr>
        <w:t>，</w:t>
      </w:r>
      <w:r>
        <w:rPr>
          <w:rFonts w:ascii="宋体" w:hAnsi="宋体"/>
          <w:b/>
          <w:bCs/>
          <w:highlight w:val="none"/>
        </w:rPr>
        <w:t>回答以下问题</w:t>
      </w:r>
      <w:r>
        <w:rPr>
          <w:rFonts w:hint="eastAsia" w:ascii="宋体" w:hAnsi="宋体"/>
          <w:b/>
          <w:bCs/>
          <w:highlight w:val="none"/>
        </w:rPr>
        <w:t>：</w:t>
      </w:r>
    </w:p>
    <w:p w14:paraId="1F43081A">
      <w:pPr>
        <w:numPr>
          <w:ilvl w:val="0"/>
          <w:numId w:val="10"/>
        </w:numPr>
        <w:spacing w:line="300" w:lineRule="auto"/>
        <w:rPr>
          <w:rFonts w:ascii="宋体" w:hAnsi="宋体"/>
          <w:bCs/>
          <w:highlight w:val="none"/>
        </w:rPr>
      </w:pPr>
      <w:r>
        <w:rPr>
          <w:rFonts w:hint="eastAsia" w:ascii="宋体" w:hAnsi="宋体"/>
          <w:bCs/>
          <w:highlight w:val="none"/>
        </w:rPr>
        <w:t>什么是一般竞争战略？分析爱奇艺的差异化战略。（8分）</w:t>
      </w:r>
    </w:p>
    <w:p w14:paraId="797864FC">
      <w:pPr>
        <w:spacing w:line="300" w:lineRule="auto"/>
        <w:rPr>
          <w:rFonts w:ascii="宋体" w:hAnsi="宋体"/>
          <w:bCs/>
          <w:highlight w:val="none"/>
        </w:rPr>
      </w:pPr>
    </w:p>
    <w:p w14:paraId="506792C5">
      <w:pPr>
        <w:spacing w:line="300" w:lineRule="auto"/>
        <w:rPr>
          <w:rFonts w:ascii="宋体" w:hAnsi="宋体"/>
          <w:bCs/>
          <w:highlight w:val="none"/>
        </w:rPr>
      </w:pPr>
    </w:p>
    <w:p w14:paraId="08293E96">
      <w:pPr>
        <w:spacing w:line="300" w:lineRule="auto"/>
        <w:rPr>
          <w:rFonts w:ascii="宋体" w:hAnsi="宋体"/>
          <w:bCs/>
          <w:highlight w:val="none"/>
        </w:rPr>
      </w:pPr>
    </w:p>
    <w:p w14:paraId="22F8F370">
      <w:pPr>
        <w:spacing w:line="300" w:lineRule="auto"/>
        <w:rPr>
          <w:rFonts w:ascii="宋体" w:hAnsi="宋体"/>
          <w:bCs/>
          <w:highlight w:val="none"/>
        </w:rPr>
      </w:pPr>
    </w:p>
    <w:p w14:paraId="5CF25B78">
      <w:pPr>
        <w:spacing w:line="300" w:lineRule="auto"/>
        <w:rPr>
          <w:rFonts w:ascii="宋体" w:hAnsi="宋体"/>
          <w:bCs/>
          <w:highlight w:val="none"/>
        </w:rPr>
      </w:pPr>
    </w:p>
    <w:p w14:paraId="2E8D2E23">
      <w:pPr>
        <w:spacing w:line="300" w:lineRule="auto"/>
        <w:rPr>
          <w:rFonts w:ascii="宋体" w:hAnsi="宋体"/>
          <w:bCs/>
          <w:highlight w:val="none"/>
        </w:rPr>
      </w:pPr>
    </w:p>
    <w:p w14:paraId="6EDE0D11">
      <w:pPr>
        <w:spacing w:line="300" w:lineRule="auto"/>
        <w:rPr>
          <w:rFonts w:ascii="宋体" w:hAnsi="宋体"/>
          <w:bCs/>
          <w:highlight w:val="none"/>
        </w:rPr>
      </w:pPr>
    </w:p>
    <w:p w14:paraId="02785B4A">
      <w:pPr>
        <w:spacing w:line="300" w:lineRule="auto"/>
        <w:rPr>
          <w:rFonts w:ascii="宋体" w:hAnsi="宋体"/>
          <w:bCs/>
          <w:highlight w:val="none"/>
        </w:rPr>
      </w:pPr>
    </w:p>
    <w:p w14:paraId="2553B884">
      <w:pPr>
        <w:spacing w:line="300" w:lineRule="auto"/>
        <w:rPr>
          <w:rFonts w:ascii="宋体" w:hAnsi="宋体"/>
          <w:bCs/>
          <w:highlight w:val="none"/>
        </w:rPr>
      </w:pPr>
    </w:p>
    <w:p w14:paraId="41656E93">
      <w:pPr>
        <w:spacing w:line="300" w:lineRule="auto"/>
        <w:rPr>
          <w:rFonts w:ascii="宋体" w:hAnsi="宋体"/>
          <w:bCs/>
          <w:highlight w:val="none"/>
        </w:rPr>
      </w:pPr>
    </w:p>
    <w:p w14:paraId="238E81E2">
      <w:pPr>
        <w:spacing w:line="300" w:lineRule="auto"/>
        <w:rPr>
          <w:rFonts w:ascii="宋体" w:hAnsi="宋体"/>
          <w:bCs/>
          <w:highlight w:val="none"/>
        </w:rPr>
      </w:pPr>
    </w:p>
    <w:p w14:paraId="356E246C">
      <w:pPr>
        <w:numPr>
          <w:ilvl w:val="0"/>
          <w:numId w:val="10"/>
        </w:numPr>
        <w:spacing w:line="300" w:lineRule="auto"/>
        <w:rPr>
          <w:rFonts w:ascii="宋体" w:hAnsi="宋体"/>
          <w:bCs/>
          <w:highlight w:val="none"/>
        </w:rPr>
      </w:pPr>
      <w:r>
        <w:rPr>
          <w:rFonts w:hint="eastAsia" w:ascii="宋体" w:hAnsi="宋体"/>
          <w:bCs/>
          <w:highlight w:val="none"/>
        </w:rPr>
        <w:t>差异化战略的风险是什么？（8分）</w:t>
      </w:r>
    </w:p>
    <w:p w14:paraId="1B9B0150">
      <w:pPr>
        <w:spacing w:line="300" w:lineRule="auto"/>
        <w:rPr>
          <w:rFonts w:ascii="宋体" w:hAnsi="宋体"/>
          <w:bCs/>
          <w:highlight w:val="none"/>
        </w:rPr>
      </w:pPr>
    </w:p>
    <w:p w14:paraId="4FBD8CBD">
      <w:pPr>
        <w:spacing w:line="300" w:lineRule="auto"/>
        <w:rPr>
          <w:rFonts w:ascii="宋体" w:hAnsi="宋体"/>
          <w:bCs/>
          <w:highlight w:val="none"/>
        </w:rPr>
      </w:pPr>
    </w:p>
    <w:p w14:paraId="1B2D3E63">
      <w:pPr>
        <w:spacing w:line="300" w:lineRule="auto"/>
        <w:rPr>
          <w:rFonts w:ascii="宋体" w:hAnsi="宋体"/>
          <w:bCs/>
          <w:highlight w:val="none"/>
        </w:rPr>
      </w:pPr>
    </w:p>
    <w:p w14:paraId="4D6AA76E">
      <w:pPr>
        <w:spacing w:line="300" w:lineRule="auto"/>
        <w:rPr>
          <w:rFonts w:ascii="宋体" w:hAnsi="宋体"/>
          <w:bCs/>
          <w:highlight w:val="none"/>
        </w:rPr>
      </w:pPr>
    </w:p>
    <w:p w14:paraId="3BD9A955">
      <w:pPr>
        <w:spacing w:line="300" w:lineRule="auto"/>
        <w:rPr>
          <w:rFonts w:ascii="宋体" w:hAnsi="宋体"/>
          <w:bCs/>
          <w:highlight w:val="none"/>
        </w:rPr>
      </w:pPr>
    </w:p>
    <w:p w14:paraId="6A1B2C84">
      <w:pPr>
        <w:spacing w:line="300" w:lineRule="auto"/>
        <w:rPr>
          <w:rFonts w:ascii="宋体" w:hAnsi="宋体"/>
          <w:bCs/>
          <w:highlight w:val="none"/>
        </w:rPr>
      </w:pPr>
    </w:p>
    <w:p w14:paraId="22B80A4D">
      <w:pPr>
        <w:spacing w:line="300" w:lineRule="auto"/>
        <w:rPr>
          <w:rFonts w:hint="eastAsia" w:ascii="宋体" w:hAnsi="宋体"/>
          <w:bCs/>
          <w:highlight w:val="none"/>
        </w:rPr>
      </w:pPr>
    </w:p>
    <w:p w14:paraId="7DED705B">
      <w:pPr>
        <w:spacing w:line="300" w:lineRule="auto"/>
        <w:rPr>
          <w:rFonts w:hint="eastAsia" w:ascii="宋体" w:hAnsi="宋体"/>
          <w:bCs/>
          <w:highlight w:val="none"/>
        </w:rPr>
      </w:pPr>
    </w:p>
    <w:p w14:paraId="362733A7">
      <w:pPr>
        <w:spacing w:line="300" w:lineRule="auto"/>
        <w:rPr>
          <w:rFonts w:ascii="宋体" w:hAnsi="宋体"/>
          <w:bCs/>
          <w:highlight w:val="none"/>
        </w:rPr>
      </w:pPr>
    </w:p>
    <w:p w14:paraId="34F491E4">
      <w:pPr>
        <w:spacing w:line="300" w:lineRule="auto"/>
        <w:rPr>
          <w:rFonts w:ascii="宋体" w:hAnsi="宋体"/>
          <w:bCs/>
          <w:highlight w:val="none"/>
        </w:rPr>
      </w:pPr>
    </w:p>
    <w:p w14:paraId="3F2B3FA0">
      <w:pPr>
        <w:spacing w:line="300" w:lineRule="auto"/>
        <w:rPr>
          <w:rFonts w:ascii="宋体" w:hAnsi="宋体"/>
          <w:bCs/>
          <w:highlight w:val="none"/>
        </w:rPr>
      </w:pPr>
      <w:r>
        <w:rPr>
          <w:rFonts w:hint="eastAsia" w:ascii="宋体" w:hAnsi="宋体"/>
          <w:bCs/>
          <w:highlight w:val="none"/>
        </w:rPr>
        <w:t>3、高速发展的行业有哪些特征？结合网络视频行业的特征，评价爱奇艺采用的竞争战略。（9分）</w:t>
      </w:r>
    </w:p>
    <w:p w14:paraId="443AE16F">
      <w:pPr>
        <w:spacing w:line="300" w:lineRule="auto"/>
        <w:rPr>
          <w:rFonts w:ascii="宋体" w:hAnsi="宋体"/>
          <w:b/>
          <w:bCs/>
          <w:highlight w:val="none"/>
        </w:rPr>
      </w:pPr>
    </w:p>
    <w:p w14:paraId="0734EFB2">
      <w:pPr>
        <w:rPr>
          <w:highlight w:val="none"/>
        </w:rPr>
      </w:pPr>
    </w:p>
    <w:p w14:paraId="76360760">
      <w:pPr>
        <w:rPr>
          <w:highlight w:val="none"/>
        </w:rPr>
      </w:pPr>
      <w:r>
        <w:rPr>
          <w:highlight w:val="none"/>
        </w:rPr>
        <w:br w:type="page"/>
      </w:r>
    </w:p>
    <w:p w14:paraId="4052C2F5">
      <w:pPr>
        <w:spacing w:line="360" w:lineRule="auto"/>
        <w:jc w:val="center"/>
        <w:rPr>
          <w:rFonts w:ascii="黑体" w:hAnsi="黑体" w:eastAsia="黑体"/>
          <w:sz w:val="24"/>
          <w:szCs w:val="24"/>
          <w:highlight w:val="none"/>
        </w:rPr>
      </w:pPr>
      <w:r>
        <w:rPr>
          <w:rFonts w:hint="eastAsia" w:ascii="黑体" w:hAnsi="黑体" w:eastAsia="黑体"/>
          <w:sz w:val="24"/>
          <w:szCs w:val="24"/>
          <w:highlight w:val="none"/>
        </w:rPr>
        <w:t>参考答案</w:t>
      </w:r>
    </w:p>
    <w:p w14:paraId="5E05620B">
      <w:pPr>
        <w:rPr>
          <w:highlight w:val="none"/>
        </w:rPr>
      </w:pPr>
      <w:r>
        <w:rPr>
          <w:rFonts w:hint="eastAsia"/>
          <w:highlight w:val="none"/>
        </w:rPr>
        <w:t xml:space="preserve">   </w:t>
      </w:r>
    </w:p>
    <w:p w14:paraId="5F89127E">
      <w:pPr>
        <w:pStyle w:val="11"/>
        <w:numPr>
          <w:ilvl w:val="0"/>
          <w:numId w:val="11"/>
        </w:numPr>
        <w:spacing w:line="360" w:lineRule="auto"/>
        <w:ind w:left="482" w:hanging="482" w:firstLineChars="0"/>
        <w:rPr>
          <w:rFonts w:ascii="黑体" w:hAnsi="黑体" w:eastAsia="黑体"/>
          <w:sz w:val="24"/>
          <w:szCs w:val="24"/>
          <w:highlight w:val="none"/>
        </w:rPr>
      </w:pPr>
      <w:r>
        <w:rPr>
          <w:rFonts w:hint="eastAsia" w:ascii="黑体" w:hAnsi="黑体" w:eastAsia="黑体"/>
          <w:sz w:val="24"/>
          <w:szCs w:val="24"/>
          <w:highlight w:val="none"/>
        </w:rPr>
        <w:t>判断题</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722"/>
        <w:gridCol w:w="722"/>
        <w:gridCol w:w="722"/>
        <w:gridCol w:w="722"/>
        <w:gridCol w:w="656"/>
        <w:gridCol w:w="721"/>
        <w:gridCol w:w="720"/>
        <w:gridCol w:w="720"/>
        <w:gridCol w:w="721"/>
        <w:gridCol w:w="721"/>
      </w:tblGrid>
      <w:tr w14:paraId="5E24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22" w:type="dxa"/>
            <w:vAlign w:val="center"/>
          </w:tcPr>
          <w:p w14:paraId="5ABE04B4">
            <w:pPr>
              <w:rPr>
                <w:rFonts w:cs="宋体" w:asciiTheme="minorEastAsia" w:hAnsiTheme="minorEastAsia"/>
                <w:b/>
                <w:bCs/>
                <w:szCs w:val="21"/>
                <w:highlight w:val="none"/>
              </w:rPr>
            </w:pPr>
            <w:r>
              <w:rPr>
                <w:rFonts w:hint="eastAsia" w:cs="宋体" w:asciiTheme="minorEastAsia" w:hAnsiTheme="minorEastAsia"/>
                <w:b/>
                <w:bCs/>
                <w:szCs w:val="21"/>
                <w:highlight w:val="none"/>
              </w:rPr>
              <w:t>题号</w:t>
            </w:r>
          </w:p>
        </w:tc>
        <w:tc>
          <w:tcPr>
            <w:tcW w:w="722" w:type="dxa"/>
            <w:vAlign w:val="center"/>
          </w:tcPr>
          <w:p w14:paraId="443D361B">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1</w:t>
            </w:r>
          </w:p>
        </w:tc>
        <w:tc>
          <w:tcPr>
            <w:tcW w:w="722" w:type="dxa"/>
            <w:vAlign w:val="center"/>
          </w:tcPr>
          <w:p w14:paraId="628A9817">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2</w:t>
            </w:r>
          </w:p>
        </w:tc>
        <w:tc>
          <w:tcPr>
            <w:tcW w:w="722" w:type="dxa"/>
            <w:vAlign w:val="center"/>
          </w:tcPr>
          <w:p w14:paraId="02D1B2F0">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3</w:t>
            </w:r>
          </w:p>
        </w:tc>
        <w:tc>
          <w:tcPr>
            <w:tcW w:w="722" w:type="dxa"/>
            <w:vAlign w:val="center"/>
          </w:tcPr>
          <w:p w14:paraId="48657748">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4</w:t>
            </w:r>
          </w:p>
        </w:tc>
        <w:tc>
          <w:tcPr>
            <w:tcW w:w="656" w:type="dxa"/>
            <w:vAlign w:val="center"/>
          </w:tcPr>
          <w:p w14:paraId="469BA143">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5</w:t>
            </w:r>
          </w:p>
        </w:tc>
        <w:tc>
          <w:tcPr>
            <w:tcW w:w="721" w:type="dxa"/>
            <w:vAlign w:val="center"/>
          </w:tcPr>
          <w:p w14:paraId="5BFE28B8">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6</w:t>
            </w:r>
          </w:p>
        </w:tc>
        <w:tc>
          <w:tcPr>
            <w:tcW w:w="720" w:type="dxa"/>
            <w:vAlign w:val="center"/>
          </w:tcPr>
          <w:p w14:paraId="2C84E269">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7</w:t>
            </w:r>
          </w:p>
        </w:tc>
        <w:tc>
          <w:tcPr>
            <w:tcW w:w="720" w:type="dxa"/>
            <w:vAlign w:val="center"/>
          </w:tcPr>
          <w:p w14:paraId="198B04E2">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8</w:t>
            </w:r>
          </w:p>
        </w:tc>
        <w:tc>
          <w:tcPr>
            <w:tcW w:w="721" w:type="dxa"/>
            <w:vAlign w:val="center"/>
          </w:tcPr>
          <w:p w14:paraId="7B78E5BB">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9</w:t>
            </w:r>
          </w:p>
        </w:tc>
        <w:tc>
          <w:tcPr>
            <w:tcW w:w="721" w:type="dxa"/>
            <w:vAlign w:val="center"/>
          </w:tcPr>
          <w:p w14:paraId="6E3573C3">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10</w:t>
            </w:r>
          </w:p>
        </w:tc>
      </w:tr>
      <w:tr w14:paraId="7915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22" w:type="dxa"/>
            <w:vAlign w:val="center"/>
          </w:tcPr>
          <w:p w14:paraId="6843FA44">
            <w:pPr>
              <w:rPr>
                <w:rFonts w:cs="宋体" w:asciiTheme="minorEastAsia" w:hAnsiTheme="minorEastAsia"/>
                <w:b/>
                <w:bCs/>
                <w:szCs w:val="21"/>
                <w:highlight w:val="none"/>
              </w:rPr>
            </w:pPr>
            <w:r>
              <w:rPr>
                <w:rFonts w:hint="eastAsia" w:cs="宋体" w:asciiTheme="minorEastAsia" w:hAnsiTheme="minorEastAsia"/>
                <w:b/>
                <w:bCs/>
                <w:szCs w:val="21"/>
                <w:highlight w:val="none"/>
              </w:rPr>
              <w:t>答案</w:t>
            </w:r>
          </w:p>
        </w:tc>
        <w:tc>
          <w:tcPr>
            <w:tcW w:w="722" w:type="dxa"/>
            <w:vAlign w:val="center"/>
          </w:tcPr>
          <w:p w14:paraId="238A0152">
            <w:pPr>
              <w:pStyle w:val="2"/>
              <w:widowControl/>
              <w:shd w:val="clear" w:color="auto" w:fill="FFFFFF"/>
              <w:spacing w:before="0" w:beforeAutospacing="0" w:after="0" w:afterAutospacing="0"/>
              <w:jc w:val="center"/>
              <w:rPr>
                <w:rFonts w:hint="default" w:cs="宋体" w:asciiTheme="minorEastAsia" w:hAnsiTheme="minorEastAsia" w:eastAsiaTheme="minorEastAsia"/>
                <w:szCs w:val="21"/>
                <w:highlight w:val="none"/>
              </w:rPr>
            </w:pPr>
            <w:r>
              <w:rPr>
                <w:rFonts w:cs="微软雅黑" w:asciiTheme="minorEastAsia" w:hAnsiTheme="minorEastAsia" w:eastAsiaTheme="minorEastAsia"/>
                <w:color w:val="333333"/>
                <w:sz w:val="22"/>
                <w:szCs w:val="22"/>
                <w:highlight w:val="none"/>
                <w:shd w:val="clear" w:color="auto" w:fill="FFFFFF"/>
              </w:rPr>
              <w:t>√</w:t>
            </w:r>
          </w:p>
        </w:tc>
        <w:tc>
          <w:tcPr>
            <w:tcW w:w="722" w:type="dxa"/>
            <w:vAlign w:val="center"/>
          </w:tcPr>
          <w:p w14:paraId="00BF0769">
            <w:pPr>
              <w:jc w:val="center"/>
              <w:rPr>
                <w:rFonts w:cs="微软雅黑" w:asciiTheme="minorEastAsia" w:hAnsiTheme="minorEastAsia"/>
                <w:b/>
                <w:color w:val="333333"/>
                <w:sz w:val="22"/>
                <w:highlight w:val="none"/>
                <w:shd w:val="clear" w:color="auto" w:fill="FFFFFF"/>
              </w:rPr>
            </w:pPr>
            <w:r>
              <w:rPr>
                <w:rFonts w:cs="微软雅黑" w:asciiTheme="minorEastAsia" w:hAnsiTheme="minorEastAsia"/>
                <w:b/>
                <w:color w:val="333333"/>
                <w:sz w:val="22"/>
                <w:highlight w:val="none"/>
                <w:shd w:val="clear" w:color="auto" w:fill="FFFFFF"/>
              </w:rPr>
              <w:t>√</w:t>
            </w:r>
          </w:p>
        </w:tc>
        <w:tc>
          <w:tcPr>
            <w:tcW w:w="722" w:type="dxa"/>
            <w:vAlign w:val="center"/>
          </w:tcPr>
          <w:p w14:paraId="754547FB">
            <w:pPr>
              <w:jc w:val="center"/>
              <w:rPr>
                <w:rFonts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w:t>
            </w:r>
          </w:p>
        </w:tc>
        <w:tc>
          <w:tcPr>
            <w:tcW w:w="722" w:type="dxa"/>
            <w:vAlign w:val="center"/>
          </w:tcPr>
          <w:p w14:paraId="61C5B60B">
            <w:pPr>
              <w:jc w:val="center"/>
              <w:rPr>
                <w:rFonts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w:t>
            </w:r>
          </w:p>
        </w:tc>
        <w:tc>
          <w:tcPr>
            <w:tcW w:w="656" w:type="dxa"/>
            <w:vAlign w:val="center"/>
          </w:tcPr>
          <w:p w14:paraId="5F736E20">
            <w:pPr>
              <w:jc w:val="center"/>
              <w:rPr>
                <w:rFonts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w:t>
            </w:r>
          </w:p>
        </w:tc>
        <w:tc>
          <w:tcPr>
            <w:tcW w:w="721" w:type="dxa"/>
            <w:vAlign w:val="center"/>
          </w:tcPr>
          <w:p w14:paraId="61BEA7A9">
            <w:pPr>
              <w:jc w:val="center"/>
              <w:rPr>
                <w:rFonts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w:t>
            </w:r>
          </w:p>
        </w:tc>
        <w:tc>
          <w:tcPr>
            <w:tcW w:w="720" w:type="dxa"/>
            <w:vAlign w:val="center"/>
          </w:tcPr>
          <w:p w14:paraId="2C13CEF5">
            <w:pPr>
              <w:jc w:val="center"/>
              <w:rPr>
                <w:rFonts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w:t>
            </w:r>
          </w:p>
        </w:tc>
        <w:tc>
          <w:tcPr>
            <w:tcW w:w="720" w:type="dxa"/>
            <w:vAlign w:val="center"/>
          </w:tcPr>
          <w:p w14:paraId="3872590F">
            <w:pPr>
              <w:jc w:val="center"/>
              <w:rPr>
                <w:rFonts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w:t>
            </w:r>
          </w:p>
        </w:tc>
        <w:tc>
          <w:tcPr>
            <w:tcW w:w="721" w:type="dxa"/>
            <w:vAlign w:val="center"/>
          </w:tcPr>
          <w:p w14:paraId="02BFEDDC">
            <w:pPr>
              <w:jc w:val="center"/>
              <w:rPr>
                <w:rFonts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w:t>
            </w:r>
          </w:p>
        </w:tc>
        <w:tc>
          <w:tcPr>
            <w:tcW w:w="721" w:type="dxa"/>
            <w:vAlign w:val="center"/>
          </w:tcPr>
          <w:p w14:paraId="6B19E849">
            <w:pPr>
              <w:jc w:val="center"/>
              <w:rPr>
                <w:rFonts w:cs="宋体" w:asciiTheme="minorEastAsia" w:hAnsiTheme="minorEastAsia"/>
                <w:b/>
                <w:bCs/>
                <w:szCs w:val="21"/>
                <w:highlight w:val="none"/>
              </w:rPr>
            </w:pPr>
            <w:r>
              <w:rPr>
                <w:rFonts w:hint="eastAsia" w:cs="微软雅黑" w:asciiTheme="minorEastAsia" w:hAnsiTheme="minorEastAsia"/>
                <w:b/>
                <w:color w:val="333333"/>
                <w:sz w:val="22"/>
                <w:highlight w:val="none"/>
                <w:shd w:val="clear" w:color="auto" w:fill="FFFFFF"/>
              </w:rPr>
              <w:t>×</w:t>
            </w:r>
          </w:p>
        </w:tc>
      </w:tr>
      <w:tr w14:paraId="595A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14:paraId="41AD1538">
            <w:pPr>
              <w:rPr>
                <w:rFonts w:cs="宋体" w:asciiTheme="minorEastAsia" w:hAnsiTheme="minorEastAsia"/>
                <w:b/>
                <w:bCs/>
                <w:szCs w:val="21"/>
                <w:highlight w:val="none"/>
              </w:rPr>
            </w:pPr>
            <w:r>
              <w:rPr>
                <w:rFonts w:hint="eastAsia" w:cs="宋体" w:asciiTheme="minorEastAsia" w:hAnsiTheme="minorEastAsia"/>
                <w:b/>
                <w:bCs/>
                <w:szCs w:val="21"/>
                <w:highlight w:val="none"/>
              </w:rPr>
              <w:t>题号</w:t>
            </w:r>
          </w:p>
        </w:tc>
        <w:tc>
          <w:tcPr>
            <w:tcW w:w="722" w:type="dxa"/>
            <w:tcBorders>
              <w:top w:val="single" w:color="auto" w:sz="4" w:space="0"/>
              <w:left w:val="single" w:color="auto" w:sz="4" w:space="0"/>
              <w:bottom w:val="single" w:color="auto" w:sz="4" w:space="0"/>
              <w:right w:val="single" w:color="auto" w:sz="4" w:space="0"/>
            </w:tcBorders>
            <w:vAlign w:val="center"/>
          </w:tcPr>
          <w:p w14:paraId="69509614">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w:t>
            </w:r>
            <w:r>
              <w:rPr>
                <w:rFonts w:hint="eastAsia" w:cs="宋体" w:asciiTheme="minorEastAsia" w:hAnsiTheme="minorEastAsia"/>
                <w:b/>
                <w:bCs/>
                <w:szCs w:val="21"/>
                <w:highlight w:val="none"/>
              </w:rPr>
              <w:t>1</w:t>
            </w:r>
          </w:p>
        </w:tc>
        <w:tc>
          <w:tcPr>
            <w:tcW w:w="722" w:type="dxa"/>
            <w:tcBorders>
              <w:top w:val="single" w:color="auto" w:sz="4" w:space="0"/>
              <w:left w:val="single" w:color="auto" w:sz="4" w:space="0"/>
              <w:bottom w:val="single" w:color="auto" w:sz="4" w:space="0"/>
              <w:right w:val="single" w:color="auto" w:sz="4" w:space="0"/>
            </w:tcBorders>
            <w:vAlign w:val="center"/>
          </w:tcPr>
          <w:p w14:paraId="5D328EC1">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w:t>
            </w:r>
            <w:r>
              <w:rPr>
                <w:rFonts w:hint="eastAsia" w:cs="宋体" w:asciiTheme="minorEastAsia" w:hAnsiTheme="minorEastAsia"/>
                <w:b/>
                <w:bCs/>
                <w:szCs w:val="21"/>
                <w:highlight w:val="none"/>
              </w:rPr>
              <w:t>2</w:t>
            </w:r>
          </w:p>
        </w:tc>
        <w:tc>
          <w:tcPr>
            <w:tcW w:w="722" w:type="dxa"/>
            <w:tcBorders>
              <w:top w:val="single" w:color="auto" w:sz="4" w:space="0"/>
              <w:left w:val="single" w:color="auto" w:sz="4" w:space="0"/>
              <w:bottom w:val="single" w:color="auto" w:sz="4" w:space="0"/>
              <w:right w:val="single" w:color="auto" w:sz="4" w:space="0"/>
            </w:tcBorders>
            <w:vAlign w:val="center"/>
          </w:tcPr>
          <w:p w14:paraId="052A9C7D">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w:t>
            </w:r>
            <w:r>
              <w:rPr>
                <w:rFonts w:hint="eastAsia" w:cs="宋体" w:asciiTheme="minorEastAsia" w:hAnsiTheme="minorEastAsia"/>
                <w:b/>
                <w:bCs/>
                <w:szCs w:val="21"/>
                <w:highlight w:val="none"/>
              </w:rPr>
              <w:t>3</w:t>
            </w:r>
          </w:p>
        </w:tc>
        <w:tc>
          <w:tcPr>
            <w:tcW w:w="722" w:type="dxa"/>
            <w:tcBorders>
              <w:top w:val="single" w:color="auto" w:sz="4" w:space="0"/>
              <w:left w:val="single" w:color="auto" w:sz="4" w:space="0"/>
              <w:bottom w:val="single" w:color="auto" w:sz="4" w:space="0"/>
              <w:right w:val="single" w:color="auto" w:sz="4" w:space="0"/>
            </w:tcBorders>
            <w:vAlign w:val="center"/>
          </w:tcPr>
          <w:p w14:paraId="38A1AB63">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w:t>
            </w:r>
            <w:r>
              <w:rPr>
                <w:rFonts w:hint="eastAsia" w:cs="宋体" w:asciiTheme="minorEastAsia" w:hAnsiTheme="minorEastAsia"/>
                <w:b/>
                <w:bCs/>
                <w:szCs w:val="21"/>
                <w:highlight w:val="none"/>
              </w:rPr>
              <w:t>4</w:t>
            </w:r>
          </w:p>
        </w:tc>
        <w:tc>
          <w:tcPr>
            <w:tcW w:w="656" w:type="dxa"/>
            <w:tcBorders>
              <w:top w:val="single" w:color="auto" w:sz="4" w:space="0"/>
              <w:left w:val="single" w:color="auto" w:sz="4" w:space="0"/>
              <w:bottom w:val="single" w:color="auto" w:sz="4" w:space="0"/>
              <w:right w:val="single" w:color="auto" w:sz="4" w:space="0"/>
            </w:tcBorders>
            <w:vAlign w:val="center"/>
          </w:tcPr>
          <w:p w14:paraId="059E9719">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w:t>
            </w:r>
            <w:r>
              <w:rPr>
                <w:rFonts w:hint="eastAsia" w:cs="宋体" w:asciiTheme="minorEastAsia" w:hAnsiTheme="minorEastAsia"/>
                <w:b/>
                <w:bCs/>
                <w:szCs w:val="21"/>
                <w:highlight w:val="none"/>
              </w:rPr>
              <w:t>5</w:t>
            </w:r>
          </w:p>
        </w:tc>
        <w:tc>
          <w:tcPr>
            <w:tcW w:w="721" w:type="dxa"/>
            <w:tcBorders>
              <w:top w:val="single" w:color="auto" w:sz="4" w:space="0"/>
              <w:left w:val="single" w:color="auto" w:sz="4" w:space="0"/>
              <w:bottom w:val="single" w:color="auto" w:sz="4" w:space="0"/>
              <w:right w:val="single" w:color="auto" w:sz="4" w:space="0"/>
            </w:tcBorders>
            <w:vAlign w:val="center"/>
          </w:tcPr>
          <w:p w14:paraId="5E79F463">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w:t>
            </w:r>
            <w:r>
              <w:rPr>
                <w:rFonts w:hint="eastAsia" w:cs="宋体" w:asciiTheme="minorEastAsia" w:hAnsiTheme="minorEastAsia"/>
                <w:b/>
                <w:bCs/>
                <w:szCs w:val="21"/>
                <w:highlight w:val="none"/>
              </w:rPr>
              <w:t>6</w:t>
            </w:r>
          </w:p>
        </w:tc>
        <w:tc>
          <w:tcPr>
            <w:tcW w:w="720" w:type="dxa"/>
            <w:tcBorders>
              <w:top w:val="single" w:color="auto" w:sz="4" w:space="0"/>
              <w:left w:val="single" w:color="auto" w:sz="4" w:space="0"/>
              <w:bottom w:val="single" w:color="auto" w:sz="4" w:space="0"/>
              <w:right w:val="single" w:color="auto" w:sz="4" w:space="0"/>
            </w:tcBorders>
            <w:vAlign w:val="center"/>
          </w:tcPr>
          <w:p w14:paraId="3127FFFE">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w:t>
            </w:r>
            <w:r>
              <w:rPr>
                <w:rFonts w:hint="eastAsia" w:cs="宋体" w:asciiTheme="minorEastAsia" w:hAnsiTheme="minorEastAsia"/>
                <w:b/>
                <w:bCs/>
                <w:szCs w:val="21"/>
                <w:highlight w:val="none"/>
              </w:rPr>
              <w:t>7</w:t>
            </w:r>
          </w:p>
        </w:tc>
        <w:tc>
          <w:tcPr>
            <w:tcW w:w="720" w:type="dxa"/>
            <w:tcBorders>
              <w:top w:val="single" w:color="auto" w:sz="4" w:space="0"/>
              <w:left w:val="single" w:color="auto" w:sz="4" w:space="0"/>
              <w:bottom w:val="single" w:color="auto" w:sz="4" w:space="0"/>
              <w:right w:val="single" w:color="auto" w:sz="4" w:space="0"/>
            </w:tcBorders>
            <w:vAlign w:val="center"/>
          </w:tcPr>
          <w:p w14:paraId="52C34547">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w:t>
            </w:r>
            <w:r>
              <w:rPr>
                <w:rFonts w:hint="eastAsia" w:cs="宋体" w:asciiTheme="minorEastAsia" w:hAnsiTheme="minorEastAsia"/>
                <w:b/>
                <w:bCs/>
                <w:szCs w:val="21"/>
                <w:highlight w:val="none"/>
              </w:rPr>
              <w:t>8</w:t>
            </w:r>
          </w:p>
        </w:tc>
        <w:tc>
          <w:tcPr>
            <w:tcW w:w="721" w:type="dxa"/>
            <w:tcBorders>
              <w:top w:val="single" w:color="auto" w:sz="4" w:space="0"/>
              <w:left w:val="single" w:color="auto" w:sz="4" w:space="0"/>
              <w:bottom w:val="single" w:color="auto" w:sz="4" w:space="0"/>
              <w:right w:val="single" w:color="auto" w:sz="4" w:space="0"/>
            </w:tcBorders>
            <w:vAlign w:val="center"/>
          </w:tcPr>
          <w:p w14:paraId="736F0ED9">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w:t>
            </w:r>
            <w:r>
              <w:rPr>
                <w:rFonts w:hint="eastAsia" w:cs="宋体" w:asciiTheme="minorEastAsia" w:hAnsiTheme="minorEastAsia"/>
                <w:b/>
                <w:bCs/>
                <w:szCs w:val="21"/>
                <w:highlight w:val="none"/>
              </w:rPr>
              <w:t>9</w:t>
            </w:r>
          </w:p>
        </w:tc>
        <w:tc>
          <w:tcPr>
            <w:tcW w:w="721" w:type="dxa"/>
            <w:tcBorders>
              <w:top w:val="single" w:color="auto" w:sz="4" w:space="0"/>
              <w:left w:val="single" w:color="auto" w:sz="4" w:space="0"/>
              <w:bottom w:val="single" w:color="auto" w:sz="4" w:space="0"/>
              <w:right w:val="single" w:color="auto" w:sz="4" w:space="0"/>
            </w:tcBorders>
            <w:vAlign w:val="center"/>
          </w:tcPr>
          <w:p w14:paraId="5F476152">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2</w:t>
            </w:r>
            <w:r>
              <w:rPr>
                <w:rFonts w:hint="eastAsia" w:cs="宋体" w:asciiTheme="minorEastAsia" w:hAnsiTheme="minorEastAsia"/>
                <w:b/>
                <w:bCs/>
                <w:szCs w:val="21"/>
                <w:highlight w:val="none"/>
              </w:rPr>
              <w:t>0</w:t>
            </w:r>
          </w:p>
        </w:tc>
      </w:tr>
      <w:tr w14:paraId="362A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14:paraId="6E41D9B3">
            <w:pPr>
              <w:rPr>
                <w:rFonts w:hint="eastAsia" w:cs="宋体" w:asciiTheme="minorEastAsia" w:hAnsiTheme="minorEastAsia"/>
                <w:b/>
                <w:bCs/>
                <w:szCs w:val="21"/>
                <w:highlight w:val="none"/>
              </w:rPr>
            </w:pPr>
            <w:r>
              <w:rPr>
                <w:rFonts w:hint="eastAsia" w:cs="宋体" w:asciiTheme="minorEastAsia" w:hAnsiTheme="minorEastAsia"/>
                <w:b/>
                <w:bCs/>
                <w:szCs w:val="21"/>
                <w:highlight w:val="none"/>
              </w:rPr>
              <w:t>答案</w:t>
            </w:r>
          </w:p>
        </w:tc>
        <w:tc>
          <w:tcPr>
            <w:tcW w:w="722" w:type="dxa"/>
            <w:tcBorders>
              <w:top w:val="single" w:color="auto" w:sz="4" w:space="0"/>
              <w:left w:val="single" w:color="auto" w:sz="4" w:space="0"/>
              <w:bottom w:val="single" w:color="auto" w:sz="4" w:space="0"/>
              <w:right w:val="single" w:color="auto" w:sz="4" w:space="0"/>
            </w:tcBorders>
            <w:vAlign w:val="center"/>
          </w:tcPr>
          <w:p w14:paraId="698BFD9E">
            <w:pPr>
              <w:pStyle w:val="2"/>
              <w:widowControl/>
              <w:shd w:val="clear" w:color="auto" w:fill="FFFFFF"/>
              <w:spacing w:before="0" w:beforeAutospacing="0" w:after="0" w:afterAutospacing="0"/>
              <w:jc w:val="center"/>
              <w:rPr>
                <w:rFonts w:cs="宋体" w:asciiTheme="minorEastAsia" w:hAnsiTheme="minorEastAsia" w:eastAsiaTheme="minorEastAsia"/>
                <w:szCs w:val="21"/>
                <w:highlight w:val="none"/>
              </w:rPr>
            </w:pPr>
            <w:r>
              <w:rPr>
                <w:rFonts w:cs="微软雅黑" w:asciiTheme="minorEastAsia" w:hAnsiTheme="minorEastAsia" w:eastAsiaTheme="minorEastAsia"/>
                <w:color w:val="333333"/>
                <w:sz w:val="22"/>
                <w:highlight w:val="none"/>
                <w:shd w:val="clear" w:color="auto" w:fill="FFFFFF"/>
              </w:rPr>
              <w:t>√</w:t>
            </w:r>
          </w:p>
        </w:tc>
        <w:tc>
          <w:tcPr>
            <w:tcW w:w="722" w:type="dxa"/>
            <w:tcBorders>
              <w:top w:val="single" w:color="auto" w:sz="4" w:space="0"/>
              <w:left w:val="single" w:color="auto" w:sz="4" w:space="0"/>
              <w:bottom w:val="single" w:color="auto" w:sz="4" w:space="0"/>
              <w:right w:val="single" w:color="auto" w:sz="4" w:space="0"/>
            </w:tcBorders>
            <w:vAlign w:val="center"/>
          </w:tcPr>
          <w:p w14:paraId="1F7697DD">
            <w:pPr>
              <w:jc w:val="center"/>
              <w:rPr>
                <w:rFonts w:hint="eastAsia"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w:t>
            </w:r>
          </w:p>
        </w:tc>
        <w:tc>
          <w:tcPr>
            <w:tcW w:w="722" w:type="dxa"/>
            <w:tcBorders>
              <w:top w:val="single" w:color="auto" w:sz="4" w:space="0"/>
              <w:left w:val="single" w:color="auto" w:sz="4" w:space="0"/>
              <w:bottom w:val="single" w:color="auto" w:sz="4" w:space="0"/>
              <w:right w:val="single" w:color="auto" w:sz="4" w:space="0"/>
            </w:tcBorders>
            <w:vAlign w:val="center"/>
          </w:tcPr>
          <w:p w14:paraId="6C029366">
            <w:pPr>
              <w:jc w:val="center"/>
              <w:rPr>
                <w:rFonts w:hint="eastAsia"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w:t>
            </w:r>
          </w:p>
        </w:tc>
        <w:tc>
          <w:tcPr>
            <w:tcW w:w="722" w:type="dxa"/>
            <w:tcBorders>
              <w:top w:val="single" w:color="auto" w:sz="4" w:space="0"/>
              <w:left w:val="single" w:color="auto" w:sz="4" w:space="0"/>
              <w:bottom w:val="single" w:color="auto" w:sz="4" w:space="0"/>
              <w:right w:val="single" w:color="auto" w:sz="4" w:space="0"/>
            </w:tcBorders>
            <w:vAlign w:val="center"/>
          </w:tcPr>
          <w:p w14:paraId="232A327B">
            <w:pPr>
              <w:jc w:val="center"/>
              <w:rPr>
                <w:rFonts w:hint="eastAsia"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w:t>
            </w:r>
          </w:p>
        </w:tc>
        <w:tc>
          <w:tcPr>
            <w:tcW w:w="656" w:type="dxa"/>
            <w:tcBorders>
              <w:top w:val="single" w:color="auto" w:sz="4" w:space="0"/>
              <w:left w:val="single" w:color="auto" w:sz="4" w:space="0"/>
              <w:bottom w:val="single" w:color="auto" w:sz="4" w:space="0"/>
              <w:right w:val="single" w:color="auto" w:sz="4" w:space="0"/>
            </w:tcBorders>
            <w:vAlign w:val="center"/>
          </w:tcPr>
          <w:p w14:paraId="3A9140E2">
            <w:pPr>
              <w:jc w:val="center"/>
              <w:rPr>
                <w:rFonts w:hint="eastAsia"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w:t>
            </w:r>
          </w:p>
        </w:tc>
        <w:tc>
          <w:tcPr>
            <w:tcW w:w="721" w:type="dxa"/>
            <w:tcBorders>
              <w:top w:val="single" w:color="auto" w:sz="4" w:space="0"/>
              <w:left w:val="single" w:color="auto" w:sz="4" w:space="0"/>
              <w:bottom w:val="single" w:color="auto" w:sz="4" w:space="0"/>
              <w:right w:val="single" w:color="auto" w:sz="4" w:space="0"/>
            </w:tcBorders>
            <w:vAlign w:val="center"/>
          </w:tcPr>
          <w:p w14:paraId="368DD9F0">
            <w:pPr>
              <w:jc w:val="center"/>
              <w:rPr>
                <w:rFonts w:hint="eastAsia"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w:t>
            </w:r>
          </w:p>
        </w:tc>
        <w:tc>
          <w:tcPr>
            <w:tcW w:w="720" w:type="dxa"/>
            <w:tcBorders>
              <w:top w:val="single" w:color="auto" w:sz="4" w:space="0"/>
              <w:left w:val="single" w:color="auto" w:sz="4" w:space="0"/>
              <w:bottom w:val="single" w:color="auto" w:sz="4" w:space="0"/>
              <w:right w:val="single" w:color="auto" w:sz="4" w:space="0"/>
            </w:tcBorders>
            <w:vAlign w:val="center"/>
          </w:tcPr>
          <w:p w14:paraId="669567FA">
            <w:pPr>
              <w:jc w:val="center"/>
              <w:rPr>
                <w:rFonts w:hint="eastAsia"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w:t>
            </w:r>
          </w:p>
        </w:tc>
        <w:tc>
          <w:tcPr>
            <w:tcW w:w="720" w:type="dxa"/>
            <w:tcBorders>
              <w:top w:val="single" w:color="auto" w:sz="4" w:space="0"/>
              <w:left w:val="single" w:color="auto" w:sz="4" w:space="0"/>
              <w:bottom w:val="single" w:color="auto" w:sz="4" w:space="0"/>
              <w:right w:val="single" w:color="auto" w:sz="4" w:space="0"/>
            </w:tcBorders>
            <w:vAlign w:val="center"/>
          </w:tcPr>
          <w:p w14:paraId="41FE2654">
            <w:pPr>
              <w:jc w:val="center"/>
              <w:rPr>
                <w:rFonts w:hint="eastAsia"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w:t>
            </w:r>
          </w:p>
        </w:tc>
        <w:tc>
          <w:tcPr>
            <w:tcW w:w="721" w:type="dxa"/>
            <w:tcBorders>
              <w:top w:val="single" w:color="auto" w:sz="4" w:space="0"/>
              <w:left w:val="single" w:color="auto" w:sz="4" w:space="0"/>
              <w:bottom w:val="single" w:color="auto" w:sz="4" w:space="0"/>
              <w:right w:val="single" w:color="auto" w:sz="4" w:space="0"/>
            </w:tcBorders>
            <w:vAlign w:val="center"/>
          </w:tcPr>
          <w:p w14:paraId="266780FA">
            <w:pPr>
              <w:jc w:val="center"/>
              <w:rPr>
                <w:rFonts w:hint="eastAsia"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w:t>
            </w:r>
          </w:p>
        </w:tc>
        <w:tc>
          <w:tcPr>
            <w:tcW w:w="721" w:type="dxa"/>
            <w:tcBorders>
              <w:top w:val="single" w:color="auto" w:sz="4" w:space="0"/>
              <w:left w:val="single" w:color="auto" w:sz="4" w:space="0"/>
              <w:bottom w:val="single" w:color="auto" w:sz="4" w:space="0"/>
              <w:right w:val="single" w:color="auto" w:sz="4" w:space="0"/>
            </w:tcBorders>
            <w:vAlign w:val="center"/>
          </w:tcPr>
          <w:p w14:paraId="4AD5B566">
            <w:pPr>
              <w:jc w:val="center"/>
              <w:rPr>
                <w:rFonts w:hint="eastAsia" w:cs="宋体" w:asciiTheme="minorEastAsia" w:hAnsiTheme="minorEastAsia"/>
                <w:b/>
                <w:bCs/>
                <w:szCs w:val="21"/>
                <w:highlight w:val="none"/>
              </w:rPr>
            </w:pPr>
            <w:r>
              <w:rPr>
                <w:rFonts w:hint="eastAsia" w:cs="微软雅黑" w:asciiTheme="minorEastAsia" w:hAnsiTheme="minorEastAsia"/>
                <w:b/>
                <w:color w:val="333333"/>
                <w:sz w:val="22"/>
                <w:highlight w:val="none"/>
                <w:shd w:val="clear" w:color="auto" w:fill="FFFFFF"/>
              </w:rPr>
              <w:t>√</w:t>
            </w:r>
          </w:p>
        </w:tc>
      </w:tr>
    </w:tbl>
    <w:p w14:paraId="27A0903F">
      <w:pPr>
        <w:pStyle w:val="11"/>
        <w:numPr>
          <w:ilvl w:val="0"/>
          <w:numId w:val="11"/>
        </w:numPr>
        <w:spacing w:line="360" w:lineRule="auto"/>
        <w:ind w:left="482" w:hanging="482" w:firstLineChars="0"/>
        <w:rPr>
          <w:rFonts w:ascii="黑体" w:hAnsi="黑体" w:eastAsia="黑体"/>
          <w:sz w:val="24"/>
          <w:szCs w:val="24"/>
          <w:highlight w:val="none"/>
        </w:rPr>
      </w:pPr>
      <w:r>
        <w:rPr>
          <w:rFonts w:hint="eastAsia" w:ascii="黑体" w:hAnsi="黑体" w:eastAsia="黑体"/>
          <w:sz w:val="24"/>
          <w:szCs w:val="24"/>
          <w:highlight w:val="none"/>
        </w:rPr>
        <w:t>单项选择题</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722"/>
        <w:gridCol w:w="722"/>
        <w:gridCol w:w="722"/>
        <w:gridCol w:w="722"/>
        <w:gridCol w:w="656"/>
        <w:gridCol w:w="721"/>
        <w:gridCol w:w="720"/>
        <w:gridCol w:w="720"/>
        <w:gridCol w:w="721"/>
        <w:gridCol w:w="721"/>
      </w:tblGrid>
      <w:tr w14:paraId="50ED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22" w:type="dxa"/>
            <w:vAlign w:val="center"/>
          </w:tcPr>
          <w:p w14:paraId="32A893EB">
            <w:pPr>
              <w:rPr>
                <w:rFonts w:cs="宋体" w:asciiTheme="minorEastAsia" w:hAnsiTheme="minorEastAsia"/>
                <w:b/>
                <w:bCs/>
                <w:szCs w:val="21"/>
                <w:highlight w:val="none"/>
              </w:rPr>
            </w:pPr>
            <w:r>
              <w:rPr>
                <w:rFonts w:hint="eastAsia" w:cs="宋体" w:asciiTheme="minorEastAsia" w:hAnsiTheme="minorEastAsia"/>
                <w:b/>
                <w:bCs/>
                <w:szCs w:val="21"/>
                <w:highlight w:val="none"/>
              </w:rPr>
              <w:t>题号</w:t>
            </w:r>
          </w:p>
        </w:tc>
        <w:tc>
          <w:tcPr>
            <w:tcW w:w="722" w:type="dxa"/>
            <w:vAlign w:val="center"/>
          </w:tcPr>
          <w:p w14:paraId="1F2928E3">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1</w:t>
            </w:r>
          </w:p>
        </w:tc>
        <w:tc>
          <w:tcPr>
            <w:tcW w:w="722" w:type="dxa"/>
            <w:vAlign w:val="center"/>
          </w:tcPr>
          <w:p w14:paraId="18CC108D">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2</w:t>
            </w:r>
          </w:p>
        </w:tc>
        <w:tc>
          <w:tcPr>
            <w:tcW w:w="722" w:type="dxa"/>
            <w:vAlign w:val="center"/>
          </w:tcPr>
          <w:p w14:paraId="715FD902">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3</w:t>
            </w:r>
          </w:p>
        </w:tc>
        <w:tc>
          <w:tcPr>
            <w:tcW w:w="722" w:type="dxa"/>
            <w:vAlign w:val="center"/>
          </w:tcPr>
          <w:p w14:paraId="44735E56">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4</w:t>
            </w:r>
          </w:p>
        </w:tc>
        <w:tc>
          <w:tcPr>
            <w:tcW w:w="656" w:type="dxa"/>
            <w:vAlign w:val="center"/>
          </w:tcPr>
          <w:p w14:paraId="715601BA">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5</w:t>
            </w:r>
          </w:p>
        </w:tc>
        <w:tc>
          <w:tcPr>
            <w:tcW w:w="721" w:type="dxa"/>
            <w:vAlign w:val="center"/>
          </w:tcPr>
          <w:p w14:paraId="12A76EC7">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6</w:t>
            </w:r>
          </w:p>
        </w:tc>
        <w:tc>
          <w:tcPr>
            <w:tcW w:w="720" w:type="dxa"/>
            <w:vAlign w:val="center"/>
          </w:tcPr>
          <w:p w14:paraId="6C2305FF">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7</w:t>
            </w:r>
          </w:p>
        </w:tc>
        <w:tc>
          <w:tcPr>
            <w:tcW w:w="720" w:type="dxa"/>
            <w:vAlign w:val="center"/>
          </w:tcPr>
          <w:p w14:paraId="4A676003">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8</w:t>
            </w:r>
          </w:p>
        </w:tc>
        <w:tc>
          <w:tcPr>
            <w:tcW w:w="721" w:type="dxa"/>
            <w:vAlign w:val="center"/>
          </w:tcPr>
          <w:p w14:paraId="29818672">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9</w:t>
            </w:r>
          </w:p>
        </w:tc>
        <w:tc>
          <w:tcPr>
            <w:tcW w:w="721" w:type="dxa"/>
            <w:vAlign w:val="center"/>
          </w:tcPr>
          <w:p w14:paraId="5E0DCC87">
            <w:pPr>
              <w:jc w:val="center"/>
              <w:rPr>
                <w:rFonts w:cs="宋体" w:asciiTheme="minorEastAsia" w:hAnsiTheme="minorEastAsia"/>
                <w:b/>
                <w:bCs/>
                <w:szCs w:val="21"/>
                <w:highlight w:val="none"/>
              </w:rPr>
            </w:pPr>
            <w:r>
              <w:rPr>
                <w:rFonts w:hint="eastAsia" w:cs="宋体" w:asciiTheme="minorEastAsia" w:hAnsiTheme="minorEastAsia"/>
                <w:b/>
                <w:bCs/>
                <w:szCs w:val="21"/>
                <w:highlight w:val="none"/>
              </w:rPr>
              <w:t>10</w:t>
            </w:r>
          </w:p>
        </w:tc>
      </w:tr>
      <w:tr w14:paraId="3BEE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22" w:type="dxa"/>
            <w:vAlign w:val="center"/>
          </w:tcPr>
          <w:p w14:paraId="65E5131E">
            <w:pPr>
              <w:rPr>
                <w:rFonts w:cs="宋体" w:asciiTheme="minorEastAsia" w:hAnsiTheme="minorEastAsia"/>
                <w:b/>
                <w:bCs/>
                <w:szCs w:val="21"/>
                <w:highlight w:val="none"/>
              </w:rPr>
            </w:pPr>
            <w:r>
              <w:rPr>
                <w:rFonts w:hint="eastAsia" w:cs="宋体" w:asciiTheme="minorEastAsia" w:hAnsiTheme="minorEastAsia"/>
                <w:b/>
                <w:bCs/>
                <w:szCs w:val="21"/>
                <w:highlight w:val="none"/>
              </w:rPr>
              <w:t>答案</w:t>
            </w:r>
          </w:p>
        </w:tc>
        <w:tc>
          <w:tcPr>
            <w:tcW w:w="722" w:type="dxa"/>
            <w:vAlign w:val="center"/>
          </w:tcPr>
          <w:p w14:paraId="66D40B9F">
            <w:pPr>
              <w:pStyle w:val="2"/>
              <w:widowControl/>
              <w:shd w:val="clear" w:color="auto" w:fill="FFFFFF"/>
              <w:spacing w:before="0" w:beforeAutospacing="0" w:after="0" w:afterAutospacing="0"/>
              <w:jc w:val="center"/>
              <w:rPr>
                <w:rFonts w:hint="default" w:cs="宋体" w:asciiTheme="minorEastAsia" w:hAnsiTheme="minorEastAsia" w:eastAsiaTheme="minorEastAsia"/>
                <w:szCs w:val="21"/>
                <w:highlight w:val="none"/>
              </w:rPr>
            </w:pPr>
            <w:r>
              <w:rPr>
                <w:rFonts w:cs="微软雅黑" w:asciiTheme="minorEastAsia" w:hAnsiTheme="minorEastAsia" w:eastAsiaTheme="minorEastAsia"/>
                <w:color w:val="333333"/>
                <w:sz w:val="22"/>
                <w:szCs w:val="22"/>
                <w:highlight w:val="none"/>
                <w:shd w:val="clear" w:color="auto" w:fill="FFFFFF"/>
              </w:rPr>
              <w:t>C</w:t>
            </w:r>
          </w:p>
        </w:tc>
        <w:tc>
          <w:tcPr>
            <w:tcW w:w="722" w:type="dxa"/>
            <w:vAlign w:val="center"/>
          </w:tcPr>
          <w:p w14:paraId="647E490B">
            <w:pPr>
              <w:jc w:val="center"/>
              <w:rPr>
                <w:rFonts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A</w:t>
            </w:r>
          </w:p>
        </w:tc>
        <w:tc>
          <w:tcPr>
            <w:tcW w:w="722" w:type="dxa"/>
            <w:vAlign w:val="center"/>
          </w:tcPr>
          <w:p w14:paraId="151C930E">
            <w:pPr>
              <w:jc w:val="center"/>
              <w:rPr>
                <w:rFonts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B</w:t>
            </w:r>
          </w:p>
        </w:tc>
        <w:tc>
          <w:tcPr>
            <w:tcW w:w="722" w:type="dxa"/>
            <w:vAlign w:val="center"/>
          </w:tcPr>
          <w:p w14:paraId="28A99906">
            <w:pPr>
              <w:jc w:val="center"/>
              <w:rPr>
                <w:rFonts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B</w:t>
            </w:r>
          </w:p>
        </w:tc>
        <w:tc>
          <w:tcPr>
            <w:tcW w:w="656" w:type="dxa"/>
            <w:vAlign w:val="center"/>
          </w:tcPr>
          <w:p w14:paraId="076D9BE6">
            <w:pPr>
              <w:jc w:val="center"/>
              <w:rPr>
                <w:rFonts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A</w:t>
            </w:r>
          </w:p>
        </w:tc>
        <w:tc>
          <w:tcPr>
            <w:tcW w:w="721" w:type="dxa"/>
            <w:vAlign w:val="center"/>
          </w:tcPr>
          <w:p w14:paraId="5B373949">
            <w:pPr>
              <w:jc w:val="center"/>
              <w:rPr>
                <w:rFonts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C</w:t>
            </w:r>
          </w:p>
        </w:tc>
        <w:tc>
          <w:tcPr>
            <w:tcW w:w="720" w:type="dxa"/>
            <w:vAlign w:val="center"/>
          </w:tcPr>
          <w:p w14:paraId="42DDB948">
            <w:pPr>
              <w:jc w:val="center"/>
              <w:rPr>
                <w:rFonts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A</w:t>
            </w:r>
          </w:p>
        </w:tc>
        <w:tc>
          <w:tcPr>
            <w:tcW w:w="720" w:type="dxa"/>
            <w:vAlign w:val="center"/>
          </w:tcPr>
          <w:p w14:paraId="0C3E485F">
            <w:pPr>
              <w:jc w:val="center"/>
              <w:rPr>
                <w:rFonts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C</w:t>
            </w:r>
          </w:p>
        </w:tc>
        <w:tc>
          <w:tcPr>
            <w:tcW w:w="721" w:type="dxa"/>
            <w:vAlign w:val="center"/>
          </w:tcPr>
          <w:p w14:paraId="1419F535">
            <w:pPr>
              <w:jc w:val="center"/>
              <w:rPr>
                <w:rFonts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C</w:t>
            </w:r>
          </w:p>
        </w:tc>
        <w:tc>
          <w:tcPr>
            <w:tcW w:w="721" w:type="dxa"/>
            <w:vAlign w:val="center"/>
          </w:tcPr>
          <w:p w14:paraId="6241ACBA">
            <w:pPr>
              <w:jc w:val="center"/>
              <w:rPr>
                <w:rFonts w:cs="宋体" w:asciiTheme="minorEastAsia" w:hAnsiTheme="minorEastAsia"/>
                <w:b/>
                <w:bCs/>
                <w:szCs w:val="21"/>
                <w:highlight w:val="none"/>
              </w:rPr>
            </w:pPr>
            <w:r>
              <w:rPr>
                <w:rFonts w:hint="eastAsia" w:cs="微软雅黑" w:asciiTheme="minorEastAsia" w:hAnsiTheme="minorEastAsia"/>
                <w:b/>
                <w:color w:val="333333"/>
                <w:sz w:val="22"/>
                <w:highlight w:val="none"/>
                <w:shd w:val="clear" w:color="auto" w:fill="FFFFFF"/>
              </w:rPr>
              <w:t>B</w:t>
            </w:r>
          </w:p>
        </w:tc>
      </w:tr>
      <w:tr w14:paraId="0D41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14:paraId="7FD210D0">
            <w:pPr>
              <w:rPr>
                <w:rFonts w:cs="宋体" w:asciiTheme="minorEastAsia" w:hAnsiTheme="minorEastAsia"/>
                <w:b/>
                <w:bCs/>
                <w:szCs w:val="21"/>
                <w:highlight w:val="none"/>
              </w:rPr>
            </w:pPr>
            <w:r>
              <w:rPr>
                <w:rFonts w:hint="eastAsia" w:cs="宋体" w:asciiTheme="minorEastAsia" w:hAnsiTheme="minorEastAsia"/>
                <w:b/>
                <w:bCs/>
                <w:szCs w:val="21"/>
                <w:highlight w:val="none"/>
              </w:rPr>
              <w:t>题号</w:t>
            </w:r>
          </w:p>
        </w:tc>
        <w:tc>
          <w:tcPr>
            <w:tcW w:w="722" w:type="dxa"/>
            <w:tcBorders>
              <w:top w:val="single" w:color="auto" w:sz="4" w:space="0"/>
              <w:left w:val="single" w:color="auto" w:sz="4" w:space="0"/>
              <w:bottom w:val="single" w:color="auto" w:sz="4" w:space="0"/>
              <w:right w:val="single" w:color="auto" w:sz="4" w:space="0"/>
            </w:tcBorders>
            <w:vAlign w:val="center"/>
          </w:tcPr>
          <w:p w14:paraId="20AC2747">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w:t>
            </w:r>
            <w:r>
              <w:rPr>
                <w:rFonts w:hint="eastAsia" w:cs="宋体" w:asciiTheme="minorEastAsia" w:hAnsiTheme="minorEastAsia"/>
                <w:b/>
                <w:bCs/>
                <w:szCs w:val="21"/>
                <w:highlight w:val="none"/>
              </w:rPr>
              <w:t>1</w:t>
            </w:r>
          </w:p>
        </w:tc>
        <w:tc>
          <w:tcPr>
            <w:tcW w:w="722" w:type="dxa"/>
            <w:tcBorders>
              <w:top w:val="single" w:color="auto" w:sz="4" w:space="0"/>
              <w:left w:val="single" w:color="auto" w:sz="4" w:space="0"/>
              <w:bottom w:val="single" w:color="auto" w:sz="4" w:space="0"/>
              <w:right w:val="single" w:color="auto" w:sz="4" w:space="0"/>
            </w:tcBorders>
            <w:vAlign w:val="center"/>
          </w:tcPr>
          <w:p w14:paraId="27D09F5E">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w:t>
            </w:r>
            <w:r>
              <w:rPr>
                <w:rFonts w:hint="eastAsia" w:cs="宋体" w:asciiTheme="minorEastAsia" w:hAnsiTheme="minorEastAsia"/>
                <w:b/>
                <w:bCs/>
                <w:szCs w:val="21"/>
                <w:highlight w:val="none"/>
              </w:rPr>
              <w:t>2</w:t>
            </w:r>
          </w:p>
        </w:tc>
        <w:tc>
          <w:tcPr>
            <w:tcW w:w="722" w:type="dxa"/>
            <w:tcBorders>
              <w:top w:val="single" w:color="auto" w:sz="4" w:space="0"/>
              <w:left w:val="single" w:color="auto" w:sz="4" w:space="0"/>
              <w:bottom w:val="single" w:color="auto" w:sz="4" w:space="0"/>
              <w:right w:val="single" w:color="auto" w:sz="4" w:space="0"/>
            </w:tcBorders>
            <w:vAlign w:val="center"/>
          </w:tcPr>
          <w:p w14:paraId="166BE659">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13</w:t>
            </w:r>
          </w:p>
        </w:tc>
        <w:tc>
          <w:tcPr>
            <w:tcW w:w="722" w:type="dxa"/>
            <w:tcBorders>
              <w:top w:val="single" w:color="auto" w:sz="4" w:space="0"/>
              <w:left w:val="single" w:color="auto" w:sz="4" w:space="0"/>
              <w:bottom w:val="single" w:color="auto" w:sz="4" w:space="0"/>
              <w:right w:val="single" w:color="auto" w:sz="4" w:space="0"/>
            </w:tcBorders>
            <w:vAlign w:val="center"/>
          </w:tcPr>
          <w:p w14:paraId="6859640B">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w:t>
            </w:r>
            <w:r>
              <w:rPr>
                <w:rFonts w:hint="eastAsia" w:cs="宋体" w:asciiTheme="minorEastAsia" w:hAnsiTheme="minorEastAsia"/>
                <w:b/>
                <w:bCs/>
                <w:szCs w:val="21"/>
                <w:highlight w:val="none"/>
              </w:rPr>
              <w:t>4</w:t>
            </w:r>
          </w:p>
        </w:tc>
        <w:tc>
          <w:tcPr>
            <w:tcW w:w="656" w:type="dxa"/>
            <w:tcBorders>
              <w:top w:val="single" w:color="auto" w:sz="4" w:space="0"/>
              <w:left w:val="single" w:color="auto" w:sz="4" w:space="0"/>
              <w:bottom w:val="single" w:color="auto" w:sz="4" w:space="0"/>
              <w:right w:val="single" w:color="auto" w:sz="4" w:space="0"/>
            </w:tcBorders>
            <w:vAlign w:val="center"/>
          </w:tcPr>
          <w:p w14:paraId="5586D004">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15</w:t>
            </w:r>
          </w:p>
        </w:tc>
        <w:tc>
          <w:tcPr>
            <w:tcW w:w="721" w:type="dxa"/>
            <w:tcBorders>
              <w:top w:val="single" w:color="auto" w:sz="4" w:space="0"/>
              <w:left w:val="single" w:color="auto" w:sz="4" w:space="0"/>
              <w:bottom w:val="single" w:color="auto" w:sz="4" w:space="0"/>
              <w:right w:val="single" w:color="auto" w:sz="4" w:space="0"/>
            </w:tcBorders>
            <w:vAlign w:val="center"/>
          </w:tcPr>
          <w:p w14:paraId="6972CCD0">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w:t>
            </w:r>
            <w:r>
              <w:rPr>
                <w:rFonts w:hint="eastAsia" w:cs="宋体" w:asciiTheme="minorEastAsia" w:hAnsiTheme="minorEastAsia"/>
                <w:b/>
                <w:bCs/>
                <w:szCs w:val="21"/>
                <w:highlight w:val="none"/>
              </w:rPr>
              <w:t>6</w:t>
            </w:r>
          </w:p>
        </w:tc>
        <w:tc>
          <w:tcPr>
            <w:tcW w:w="720" w:type="dxa"/>
            <w:tcBorders>
              <w:top w:val="single" w:color="auto" w:sz="4" w:space="0"/>
              <w:left w:val="single" w:color="auto" w:sz="4" w:space="0"/>
              <w:bottom w:val="single" w:color="auto" w:sz="4" w:space="0"/>
              <w:right w:val="single" w:color="auto" w:sz="4" w:space="0"/>
            </w:tcBorders>
            <w:vAlign w:val="center"/>
          </w:tcPr>
          <w:p w14:paraId="026C6FB7">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w:t>
            </w:r>
            <w:r>
              <w:rPr>
                <w:rFonts w:hint="eastAsia" w:cs="宋体" w:asciiTheme="minorEastAsia" w:hAnsiTheme="minorEastAsia"/>
                <w:b/>
                <w:bCs/>
                <w:szCs w:val="21"/>
                <w:highlight w:val="none"/>
              </w:rPr>
              <w:t>7</w:t>
            </w:r>
          </w:p>
        </w:tc>
        <w:tc>
          <w:tcPr>
            <w:tcW w:w="720" w:type="dxa"/>
            <w:tcBorders>
              <w:top w:val="single" w:color="auto" w:sz="4" w:space="0"/>
              <w:left w:val="single" w:color="auto" w:sz="4" w:space="0"/>
              <w:bottom w:val="single" w:color="auto" w:sz="4" w:space="0"/>
              <w:right w:val="single" w:color="auto" w:sz="4" w:space="0"/>
            </w:tcBorders>
            <w:vAlign w:val="center"/>
          </w:tcPr>
          <w:p w14:paraId="20FB2CA2">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w:t>
            </w:r>
            <w:r>
              <w:rPr>
                <w:rFonts w:hint="eastAsia" w:cs="宋体" w:asciiTheme="minorEastAsia" w:hAnsiTheme="minorEastAsia"/>
                <w:b/>
                <w:bCs/>
                <w:szCs w:val="21"/>
                <w:highlight w:val="none"/>
              </w:rPr>
              <w:t>8</w:t>
            </w:r>
          </w:p>
        </w:tc>
        <w:tc>
          <w:tcPr>
            <w:tcW w:w="721" w:type="dxa"/>
            <w:tcBorders>
              <w:top w:val="single" w:color="auto" w:sz="4" w:space="0"/>
              <w:left w:val="single" w:color="auto" w:sz="4" w:space="0"/>
              <w:bottom w:val="single" w:color="auto" w:sz="4" w:space="0"/>
              <w:right w:val="single" w:color="auto" w:sz="4" w:space="0"/>
            </w:tcBorders>
            <w:vAlign w:val="center"/>
          </w:tcPr>
          <w:p w14:paraId="1B7D929F">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1</w:t>
            </w:r>
            <w:r>
              <w:rPr>
                <w:rFonts w:hint="eastAsia" w:cs="宋体" w:asciiTheme="minorEastAsia" w:hAnsiTheme="minorEastAsia"/>
                <w:b/>
                <w:bCs/>
                <w:szCs w:val="21"/>
                <w:highlight w:val="none"/>
              </w:rPr>
              <w:t>9</w:t>
            </w:r>
          </w:p>
        </w:tc>
        <w:tc>
          <w:tcPr>
            <w:tcW w:w="721" w:type="dxa"/>
            <w:tcBorders>
              <w:top w:val="single" w:color="auto" w:sz="4" w:space="0"/>
              <w:left w:val="single" w:color="auto" w:sz="4" w:space="0"/>
              <w:bottom w:val="single" w:color="auto" w:sz="4" w:space="0"/>
              <w:right w:val="single" w:color="auto" w:sz="4" w:space="0"/>
            </w:tcBorders>
            <w:vAlign w:val="center"/>
          </w:tcPr>
          <w:p w14:paraId="2F181EB4">
            <w:pPr>
              <w:jc w:val="center"/>
              <w:rPr>
                <w:rFonts w:hint="eastAsia" w:cs="宋体" w:asciiTheme="minorEastAsia" w:hAnsiTheme="minorEastAsia"/>
                <w:b/>
                <w:bCs/>
                <w:szCs w:val="21"/>
                <w:highlight w:val="none"/>
              </w:rPr>
            </w:pPr>
            <w:r>
              <w:rPr>
                <w:rFonts w:cs="宋体" w:asciiTheme="minorEastAsia" w:hAnsiTheme="minorEastAsia"/>
                <w:b/>
                <w:bCs/>
                <w:szCs w:val="21"/>
                <w:highlight w:val="none"/>
              </w:rPr>
              <w:t>2</w:t>
            </w:r>
            <w:r>
              <w:rPr>
                <w:rFonts w:hint="eastAsia" w:cs="宋体" w:asciiTheme="minorEastAsia" w:hAnsiTheme="minorEastAsia"/>
                <w:b/>
                <w:bCs/>
                <w:szCs w:val="21"/>
                <w:highlight w:val="none"/>
              </w:rPr>
              <w:t>0</w:t>
            </w:r>
          </w:p>
        </w:tc>
      </w:tr>
      <w:tr w14:paraId="2749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14:paraId="6EC0A4B3">
            <w:pPr>
              <w:rPr>
                <w:rFonts w:hint="eastAsia" w:cs="宋体" w:asciiTheme="minorEastAsia" w:hAnsiTheme="minorEastAsia"/>
                <w:b/>
                <w:bCs/>
                <w:szCs w:val="21"/>
                <w:highlight w:val="none"/>
              </w:rPr>
            </w:pPr>
            <w:r>
              <w:rPr>
                <w:rFonts w:hint="eastAsia" w:cs="宋体" w:asciiTheme="minorEastAsia" w:hAnsiTheme="minorEastAsia"/>
                <w:b/>
                <w:bCs/>
                <w:szCs w:val="21"/>
                <w:highlight w:val="none"/>
              </w:rPr>
              <w:t>答案</w:t>
            </w:r>
          </w:p>
        </w:tc>
        <w:tc>
          <w:tcPr>
            <w:tcW w:w="722" w:type="dxa"/>
            <w:tcBorders>
              <w:top w:val="single" w:color="auto" w:sz="4" w:space="0"/>
              <w:left w:val="single" w:color="auto" w:sz="4" w:space="0"/>
              <w:bottom w:val="single" w:color="auto" w:sz="4" w:space="0"/>
              <w:right w:val="single" w:color="auto" w:sz="4" w:space="0"/>
            </w:tcBorders>
            <w:vAlign w:val="center"/>
          </w:tcPr>
          <w:p w14:paraId="3E3C6F03">
            <w:pPr>
              <w:pStyle w:val="2"/>
              <w:widowControl/>
              <w:shd w:val="clear" w:color="auto" w:fill="FFFFFF"/>
              <w:spacing w:before="0" w:beforeAutospacing="0" w:after="0" w:afterAutospacing="0"/>
              <w:jc w:val="center"/>
              <w:rPr>
                <w:rFonts w:cs="宋体" w:asciiTheme="minorEastAsia" w:hAnsiTheme="minorEastAsia" w:eastAsiaTheme="minorEastAsia"/>
                <w:szCs w:val="21"/>
                <w:highlight w:val="none"/>
              </w:rPr>
            </w:pPr>
            <w:r>
              <w:rPr>
                <w:rFonts w:cs="微软雅黑" w:asciiTheme="minorEastAsia" w:hAnsiTheme="minorEastAsia" w:eastAsiaTheme="minorEastAsia"/>
                <w:color w:val="333333"/>
                <w:sz w:val="22"/>
                <w:highlight w:val="none"/>
                <w:shd w:val="clear" w:color="auto" w:fill="FFFFFF"/>
              </w:rPr>
              <w:t>D</w:t>
            </w:r>
          </w:p>
        </w:tc>
        <w:tc>
          <w:tcPr>
            <w:tcW w:w="722" w:type="dxa"/>
            <w:tcBorders>
              <w:top w:val="single" w:color="auto" w:sz="4" w:space="0"/>
              <w:left w:val="single" w:color="auto" w:sz="4" w:space="0"/>
              <w:bottom w:val="single" w:color="auto" w:sz="4" w:space="0"/>
              <w:right w:val="single" w:color="auto" w:sz="4" w:space="0"/>
            </w:tcBorders>
            <w:vAlign w:val="center"/>
          </w:tcPr>
          <w:p w14:paraId="2F97A8A7">
            <w:pPr>
              <w:jc w:val="center"/>
              <w:rPr>
                <w:rFonts w:hint="eastAsia"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A</w:t>
            </w:r>
          </w:p>
        </w:tc>
        <w:tc>
          <w:tcPr>
            <w:tcW w:w="722" w:type="dxa"/>
            <w:tcBorders>
              <w:top w:val="single" w:color="auto" w:sz="4" w:space="0"/>
              <w:left w:val="single" w:color="auto" w:sz="4" w:space="0"/>
              <w:bottom w:val="single" w:color="auto" w:sz="4" w:space="0"/>
              <w:right w:val="single" w:color="auto" w:sz="4" w:space="0"/>
            </w:tcBorders>
            <w:vAlign w:val="center"/>
          </w:tcPr>
          <w:p w14:paraId="2129F7EA">
            <w:pPr>
              <w:jc w:val="center"/>
              <w:rPr>
                <w:rFonts w:hint="eastAsia"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A</w:t>
            </w:r>
          </w:p>
        </w:tc>
        <w:tc>
          <w:tcPr>
            <w:tcW w:w="722" w:type="dxa"/>
            <w:tcBorders>
              <w:top w:val="single" w:color="auto" w:sz="4" w:space="0"/>
              <w:left w:val="single" w:color="auto" w:sz="4" w:space="0"/>
              <w:bottom w:val="single" w:color="auto" w:sz="4" w:space="0"/>
              <w:right w:val="single" w:color="auto" w:sz="4" w:space="0"/>
            </w:tcBorders>
            <w:vAlign w:val="center"/>
          </w:tcPr>
          <w:p w14:paraId="447FA47C">
            <w:pPr>
              <w:jc w:val="center"/>
              <w:rPr>
                <w:rFonts w:hint="eastAsia"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A</w:t>
            </w:r>
          </w:p>
        </w:tc>
        <w:tc>
          <w:tcPr>
            <w:tcW w:w="656" w:type="dxa"/>
            <w:tcBorders>
              <w:top w:val="single" w:color="auto" w:sz="4" w:space="0"/>
              <w:left w:val="single" w:color="auto" w:sz="4" w:space="0"/>
              <w:bottom w:val="single" w:color="auto" w:sz="4" w:space="0"/>
              <w:right w:val="single" w:color="auto" w:sz="4" w:space="0"/>
            </w:tcBorders>
            <w:vAlign w:val="center"/>
          </w:tcPr>
          <w:p w14:paraId="7FE17094">
            <w:pPr>
              <w:jc w:val="center"/>
              <w:rPr>
                <w:rFonts w:hint="eastAsia"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B</w:t>
            </w:r>
          </w:p>
        </w:tc>
        <w:tc>
          <w:tcPr>
            <w:tcW w:w="721" w:type="dxa"/>
            <w:tcBorders>
              <w:top w:val="single" w:color="auto" w:sz="4" w:space="0"/>
              <w:left w:val="single" w:color="auto" w:sz="4" w:space="0"/>
              <w:bottom w:val="single" w:color="auto" w:sz="4" w:space="0"/>
              <w:right w:val="single" w:color="auto" w:sz="4" w:space="0"/>
            </w:tcBorders>
            <w:vAlign w:val="center"/>
          </w:tcPr>
          <w:p w14:paraId="5A9DCA21">
            <w:pPr>
              <w:jc w:val="center"/>
              <w:rPr>
                <w:rFonts w:hint="eastAsia"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C</w:t>
            </w:r>
          </w:p>
        </w:tc>
        <w:tc>
          <w:tcPr>
            <w:tcW w:w="720" w:type="dxa"/>
            <w:tcBorders>
              <w:top w:val="single" w:color="auto" w:sz="4" w:space="0"/>
              <w:left w:val="single" w:color="auto" w:sz="4" w:space="0"/>
              <w:bottom w:val="single" w:color="auto" w:sz="4" w:space="0"/>
              <w:right w:val="single" w:color="auto" w:sz="4" w:space="0"/>
            </w:tcBorders>
            <w:vAlign w:val="center"/>
          </w:tcPr>
          <w:p w14:paraId="71F6B863">
            <w:pPr>
              <w:jc w:val="center"/>
              <w:rPr>
                <w:rFonts w:hint="eastAsia"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C</w:t>
            </w:r>
          </w:p>
        </w:tc>
        <w:tc>
          <w:tcPr>
            <w:tcW w:w="720" w:type="dxa"/>
            <w:tcBorders>
              <w:top w:val="single" w:color="auto" w:sz="4" w:space="0"/>
              <w:left w:val="single" w:color="auto" w:sz="4" w:space="0"/>
              <w:bottom w:val="single" w:color="auto" w:sz="4" w:space="0"/>
              <w:right w:val="single" w:color="auto" w:sz="4" w:space="0"/>
            </w:tcBorders>
            <w:vAlign w:val="center"/>
          </w:tcPr>
          <w:p w14:paraId="72655C36">
            <w:pPr>
              <w:jc w:val="center"/>
              <w:rPr>
                <w:rFonts w:hint="eastAsia"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B</w:t>
            </w:r>
          </w:p>
        </w:tc>
        <w:tc>
          <w:tcPr>
            <w:tcW w:w="721" w:type="dxa"/>
            <w:tcBorders>
              <w:top w:val="single" w:color="auto" w:sz="4" w:space="0"/>
              <w:left w:val="single" w:color="auto" w:sz="4" w:space="0"/>
              <w:bottom w:val="single" w:color="auto" w:sz="4" w:space="0"/>
              <w:right w:val="single" w:color="auto" w:sz="4" w:space="0"/>
            </w:tcBorders>
            <w:vAlign w:val="center"/>
          </w:tcPr>
          <w:p w14:paraId="65016D36">
            <w:pPr>
              <w:jc w:val="center"/>
              <w:rPr>
                <w:rFonts w:hint="eastAsia" w:cs="微软雅黑" w:asciiTheme="minorEastAsia" w:hAnsiTheme="minorEastAsia"/>
                <w:b/>
                <w:color w:val="333333"/>
                <w:sz w:val="22"/>
                <w:highlight w:val="none"/>
                <w:shd w:val="clear" w:color="auto" w:fill="FFFFFF"/>
              </w:rPr>
            </w:pPr>
            <w:r>
              <w:rPr>
                <w:rFonts w:hint="eastAsia" w:cs="微软雅黑" w:asciiTheme="minorEastAsia" w:hAnsiTheme="minorEastAsia"/>
                <w:b/>
                <w:color w:val="333333"/>
                <w:sz w:val="22"/>
                <w:highlight w:val="none"/>
                <w:shd w:val="clear" w:color="auto" w:fill="FFFFFF"/>
              </w:rPr>
              <w:t>C</w:t>
            </w:r>
          </w:p>
        </w:tc>
        <w:tc>
          <w:tcPr>
            <w:tcW w:w="721" w:type="dxa"/>
            <w:tcBorders>
              <w:top w:val="single" w:color="auto" w:sz="4" w:space="0"/>
              <w:left w:val="single" w:color="auto" w:sz="4" w:space="0"/>
              <w:bottom w:val="single" w:color="auto" w:sz="4" w:space="0"/>
              <w:right w:val="single" w:color="auto" w:sz="4" w:space="0"/>
            </w:tcBorders>
            <w:vAlign w:val="center"/>
          </w:tcPr>
          <w:p w14:paraId="594CA5B4">
            <w:pPr>
              <w:jc w:val="center"/>
              <w:rPr>
                <w:rFonts w:hint="eastAsia" w:cs="宋体" w:asciiTheme="minorEastAsia" w:hAnsiTheme="minorEastAsia"/>
                <w:b/>
                <w:bCs/>
                <w:szCs w:val="21"/>
                <w:highlight w:val="none"/>
              </w:rPr>
            </w:pPr>
            <w:r>
              <w:rPr>
                <w:rFonts w:hint="eastAsia" w:cs="微软雅黑" w:asciiTheme="minorEastAsia" w:hAnsiTheme="minorEastAsia"/>
                <w:b/>
                <w:color w:val="333333"/>
                <w:sz w:val="22"/>
                <w:highlight w:val="none"/>
                <w:shd w:val="clear" w:color="auto" w:fill="FFFFFF"/>
              </w:rPr>
              <w:t>D</w:t>
            </w:r>
          </w:p>
        </w:tc>
      </w:tr>
    </w:tbl>
    <w:p w14:paraId="61376C46">
      <w:pPr>
        <w:pStyle w:val="11"/>
        <w:numPr>
          <w:ilvl w:val="0"/>
          <w:numId w:val="11"/>
        </w:numPr>
        <w:spacing w:line="360" w:lineRule="auto"/>
        <w:ind w:left="482" w:hanging="482" w:firstLineChars="0"/>
        <w:rPr>
          <w:rFonts w:ascii="黑体" w:hAnsi="黑体" w:eastAsia="黑体"/>
          <w:sz w:val="24"/>
          <w:szCs w:val="24"/>
          <w:highlight w:val="none"/>
        </w:rPr>
      </w:pPr>
      <w:r>
        <w:rPr>
          <w:rFonts w:hint="eastAsia" w:ascii="黑体" w:hAnsi="黑体" w:eastAsia="黑体"/>
          <w:sz w:val="24"/>
          <w:szCs w:val="24"/>
          <w:highlight w:val="none"/>
        </w:rPr>
        <w:t>简答题</w:t>
      </w:r>
    </w:p>
    <w:p w14:paraId="28E4B35A">
      <w:pPr>
        <w:pStyle w:val="11"/>
        <w:numPr>
          <w:ilvl w:val="0"/>
          <w:numId w:val="12"/>
        </w:numPr>
        <w:ind w:firstLineChars="0"/>
        <w:rPr>
          <w:bCs/>
          <w:highlight w:val="none"/>
        </w:rPr>
      </w:pPr>
      <w:r>
        <w:rPr>
          <w:rFonts w:hint="eastAsia"/>
          <w:bCs/>
          <w:highlight w:val="none"/>
        </w:rPr>
        <w:t>简述波特的五种力量模型。</w:t>
      </w:r>
    </w:p>
    <w:p w14:paraId="5BA75BBC">
      <w:pPr>
        <w:ind w:left="283" w:leftChars="135" w:firstLine="210" w:firstLineChars="100"/>
        <w:rPr>
          <w:bCs/>
          <w:highlight w:val="none"/>
        </w:rPr>
      </w:pPr>
      <w:r>
        <w:rPr>
          <w:rFonts w:hint="eastAsia"/>
          <w:bCs/>
          <w:highlight w:val="none"/>
        </w:rPr>
        <w:t>五种力量模型是分析行业竞争环境的有效工具，行业中的竞争力量一般由五种因素形成，分别是：</w:t>
      </w:r>
    </w:p>
    <w:p w14:paraId="0A6D2876">
      <w:pPr>
        <w:pStyle w:val="11"/>
        <w:numPr>
          <w:ilvl w:val="0"/>
          <w:numId w:val="13"/>
        </w:numPr>
        <w:ind w:firstLineChars="0"/>
        <w:rPr>
          <w:bCs/>
          <w:highlight w:val="none"/>
        </w:rPr>
      </w:pPr>
      <w:r>
        <w:rPr>
          <w:rFonts w:hint="eastAsia"/>
          <w:bCs/>
          <w:highlight w:val="none"/>
        </w:rPr>
        <w:t>潜在进入者；</w:t>
      </w:r>
    </w:p>
    <w:p w14:paraId="1D1E09EE">
      <w:pPr>
        <w:pStyle w:val="11"/>
        <w:numPr>
          <w:ilvl w:val="0"/>
          <w:numId w:val="13"/>
        </w:numPr>
        <w:ind w:firstLineChars="0"/>
        <w:rPr>
          <w:bCs/>
          <w:highlight w:val="none"/>
        </w:rPr>
      </w:pPr>
      <w:r>
        <w:rPr>
          <w:rFonts w:hint="eastAsia"/>
          <w:bCs/>
          <w:highlight w:val="none"/>
        </w:rPr>
        <w:t>供应商讨价还价能力；</w:t>
      </w:r>
    </w:p>
    <w:p w14:paraId="296558DA">
      <w:pPr>
        <w:pStyle w:val="11"/>
        <w:numPr>
          <w:ilvl w:val="0"/>
          <w:numId w:val="13"/>
        </w:numPr>
        <w:ind w:firstLineChars="0"/>
        <w:rPr>
          <w:bCs/>
          <w:highlight w:val="none"/>
        </w:rPr>
      </w:pPr>
      <w:r>
        <w:rPr>
          <w:rFonts w:hint="eastAsia"/>
          <w:bCs/>
          <w:highlight w:val="none"/>
        </w:rPr>
        <w:t>购买者讨价还价能力；</w:t>
      </w:r>
    </w:p>
    <w:p w14:paraId="2D27B525">
      <w:pPr>
        <w:pStyle w:val="11"/>
        <w:numPr>
          <w:ilvl w:val="0"/>
          <w:numId w:val="13"/>
        </w:numPr>
        <w:ind w:firstLineChars="0"/>
        <w:rPr>
          <w:bCs/>
          <w:highlight w:val="none"/>
        </w:rPr>
      </w:pPr>
      <w:r>
        <w:rPr>
          <w:rFonts w:hint="eastAsia"/>
          <w:bCs/>
          <w:highlight w:val="none"/>
        </w:rPr>
        <w:t>替代品威胁；</w:t>
      </w:r>
    </w:p>
    <w:p w14:paraId="069EB8BC">
      <w:pPr>
        <w:pStyle w:val="11"/>
        <w:numPr>
          <w:ilvl w:val="0"/>
          <w:numId w:val="13"/>
        </w:numPr>
        <w:ind w:firstLineChars="0"/>
        <w:rPr>
          <w:bCs/>
          <w:highlight w:val="none"/>
        </w:rPr>
      </w:pPr>
      <w:r>
        <w:rPr>
          <w:rFonts w:hint="eastAsia"/>
          <w:bCs/>
          <w:highlight w:val="none"/>
        </w:rPr>
        <w:t>行业内竞争者。</w:t>
      </w:r>
    </w:p>
    <w:p w14:paraId="73850A75">
      <w:pPr>
        <w:pStyle w:val="11"/>
        <w:ind w:left="840" w:firstLine="0" w:firstLineChars="0"/>
        <w:rPr>
          <w:bCs/>
          <w:highlight w:val="none"/>
        </w:rPr>
      </w:pPr>
    </w:p>
    <w:p w14:paraId="76C2BBA5">
      <w:pPr>
        <w:pStyle w:val="11"/>
        <w:numPr>
          <w:ilvl w:val="0"/>
          <w:numId w:val="12"/>
        </w:numPr>
        <w:ind w:firstLineChars="0"/>
        <w:rPr>
          <w:bCs/>
          <w:highlight w:val="none"/>
        </w:rPr>
      </w:pPr>
      <w:r>
        <w:rPr>
          <w:rFonts w:hint="eastAsia"/>
          <w:bCs/>
          <w:highlight w:val="none"/>
        </w:rPr>
        <w:t>成熟行业中，企业可常用的战略对策有哪些？</w:t>
      </w:r>
    </w:p>
    <w:p w14:paraId="4DCF0898">
      <w:pPr>
        <w:ind w:left="283" w:leftChars="135"/>
        <w:rPr>
          <w:bCs/>
          <w:highlight w:val="none"/>
        </w:rPr>
      </w:pPr>
      <w:r>
        <w:rPr>
          <w:rFonts w:hint="eastAsia"/>
          <w:bCs/>
          <w:highlight w:val="none"/>
        </w:rPr>
        <w:t>答案可能包括：</w:t>
      </w:r>
    </w:p>
    <w:p w14:paraId="319F75EF">
      <w:pPr>
        <w:pStyle w:val="11"/>
        <w:numPr>
          <w:ilvl w:val="0"/>
          <w:numId w:val="13"/>
        </w:numPr>
        <w:ind w:firstLineChars="0"/>
        <w:rPr>
          <w:bCs/>
          <w:highlight w:val="none"/>
        </w:rPr>
      </w:pPr>
      <w:r>
        <w:rPr>
          <w:rFonts w:hint="eastAsia"/>
          <w:bCs/>
          <w:highlight w:val="none"/>
        </w:rPr>
        <w:t>缩减产品系列；</w:t>
      </w:r>
    </w:p>
    <w:p w14:paraId="6769061D">
      <w:pPr>
        <w:pStyle w:val="11"/>
        <w:numPr>
          <w:ilvl w:val="0"/>
          <w:numId w:val="13"/>
        </w:numPr>
        <w:ind w:firstLineChars="0"/>
        <w:rPr>
          <w:bCs/>
          <w:highlight w:val="none"/>
        </w:rPr>
      </w:pPr>
      <w:r>
        <w:rPr>
          <w:rFonts w:hint="eastAsia"/>
          <w:bCs/>
          <w:highlight w:val="none"/>
        </w:rPr>
        <w:t>更加重视流程革新；</w:t>
      </w:r>
    </w:p>
    <w:p w14:paraId="427C7BD5">
      <w:pPr>
        <w:pStyle w:val="11"/>
        <w:numPr>
          <w:ilvl w:val="0"/>
          <w:numId w:val="13"/>
        </w:numPr>
        <w:ind w:firstLineChars="0"/>
        <w:rPr>
          <w:bCs/>
          <w:highlight w:val="none"/>
        </w:rPr>
      </w:pPr>
      <w:r>
        <w:rPr>
          <w:rFonts w:hint="eastAsia"/>
          <w:bCs/>
          <w:highlight w:val="none"/>
        </w:rPr>
        <w:t>加强降低成本的管理；</w:t>
      </w:r>
    </w:p>
    <w:p w14:paraId="4255B679">
      <w:pPr>
        <w:pStyle w:val="11"/>
        <w:numPr>
          <w:ilvl w:val="0"/>
          <w:numId w:val="13"/>
        </w:numPr>
        <w:ind w:firstLineChars="0"/>
        <w:rPr>
          <w:bCs/>
          <w:highlight w:val="none"/>
        </w:rPr>
      </w:pPr>
      <w:r>
        <w:rPr>
          <w:rFonts w:hint="eastAsia"/>
          <w:bCs/>
          <w:highlight w:val="none"/>
        </w:rPr>
        <w:t>增加对现有客户的销售；</w:t>
      </w:r>
    </w:p>
    <w:p w14:paraId="1F0F9632">
      <w:pPr>
        <w:pStyle w:val="11"/>
        <w:numPr>
          <w:ilvl w:val="0"/>
          <w:numId w:val="13"/>
        </w:numPr>
        <w:ind w:firstLineChars="0"/>
        <w:rPr>
          <w:bCs/>
          <w:highlight w:val="none"/>
        </w:rPr>
      </w:pPr>
      <w:r>
        <w:rPr>
          <w:rFonts w:hint="eastAsia"/>
          <w:bCs/>
          <w:highlight w:val="none"/>
        </w:rPr>
        <w:t>以便宜的价格购买竞争厂商；</w:t>
      </w:r>
    </w:p>
    <w:p w14:paraId="27933D81">
      <w:pPr>
        <w:pStyle w:val="11"/>
        <w:numPr>
          <w:ilvl w:val="0"/>
          <w:numId w:val="13"/>
        </w:numPr>
        <w:ind w:firstLineChars="0"/>
        <w:rPr>
          <w:bCs/>
          <w:highlight w:val="none"/>
        </w:rPr>
      </w:pPr>
      <w:r>
        <w:rPr>
          <w:rFonts w:hint="eastAsia"/>
          <w:bCs/>
          <w:highlight w:val="none"/>
        </w:rPr>
        <w:t>发展国际化经营，发挥比较优势；</w:t>
      </w:r>
    </w:p>
    <w:p w14:paraId="18C8748F">
      <w:pPr>
        <w:pStyle w:val="11"/>
        <w:numPr>
          <w:ilvl w:val="0"/>
          <w:numId w:val="13"/>
        </w:numPr>
        <w:ind w:firstLineChars="0"/>
        <w:rPr>
          <w:bCs/>
          <w:highlight w:val="none"/>
        </w:rPr>
      </w:pPr>
      <w:r>
        <w:rPr>
          <w:rFonts w:hint="eastAsia"/>
          <w:bCs/>
          <w:highlight w:val="none"/>
        </w:rPr>
        <w:t>建立新的或更加灵活的能力。</w:t>
      </w:r>
    </w:p>
    <w:p w14:paraId="0422C729">
      <w:pPr>
        <w:ind w:firstLine="420" w:firstLineChars="200"/>
        <w:rPr>
          <w:rFonts w:ascii="Calibri" w:hAnsi="Calibri" w:eastAsia="宋体" w:cs="Times New Roman"/>
          <w:bCs/>
          <w:highlight w:val="none"/>
        </w:rPr>
      </w:pPr>
      <w:r>
        <w:rPr>
          <w:rFonts w:ascii="Calibri" w:hAnsi="Calibri" w:eastAsia="宋体" w:cs="Times New Roman"/>
          <w:bCs/>
          <w:highlight w:val="none"/>
        </w:rPr>
        <w:t>3</w:t>
      </w:r>
      <w:r>
        <w:rPr>
          <w:rFonts w:hint="eastAsia" w:ascii="Calibri" w:hAnsi="Calibri" w:eastAsia="宋体" w:cs="Times New Roman"/>
          <w:bCs/>
          <w:highlight w:val="none"/>
        </w:rPr>
        <w:t>、为什么企业研究和了解外部环境很重要？</w:t>
      </w:r>
    </w:p>
    <w:p w14:paraId="0C0C144C">
      <w:pPr>
        <w:ind w:firstLine="420" w:firstLineChars="200"/>
        <w:rPr>
          <w:rFonts w:ascii="Calibri" w:hAnsi="Calibri" w:eastAsia="宋体" w:cs="Times New Roman"/>
          <w:bCs/>
          <w:highlight w:val="none"/>
        </w:rPr>
      </w:pPr>
      <w:r>
        <w:rPr>
          <w:rFonts w:hint="eastAsia" w:ascii="Calibri" w:hAnsi="Calibri" w:eastAsia="宋体" w:cs="Times New Roman"/>
          <w:bCs/>
          <w:highlight w:val="none"/>
        </w:rPr>
        <w:t>答案可能包括：</w:t>
      </w:r>
    </w:p>
    <w:p w14:paraId="608FC1E0">
      <w:pPr>
        <w:numPr>
          <w:ilvl w:val="0"/>
          <w:numId w:val="14"/>
        </w:numPr>
        <w:rPr>
          <w:rFonts w:ascii="Calibri" w:hAnsi="Calibri" w:eastAsia="宋体" w:cs="Times New Roman"/>
          <w:bCs/>
          <w:highlight w:val="none"/>
        </w:rPr>
      </w:pPr>
      <w:r>
        <w:rPr>
          <w:rFonts w:hint="eastAsia" w:ascii="Calibri" w:hAnsi="Calibri" w:eastAsia="宋体" w:cs="Times New Roman"/>
          <w:bCs/>
          <w:highlight w:val="none"/>
        </w:rPr>
        <w:t>组织面临着动荡、复杂、全球化的外部环境；</w:t>
      </w:r>
    </w:p>
    <w:p w14:paraId="35033341">
      <w:pPr>
        <w:numPr>
          <w:ilvl w:val="0"/>
          <w:numId w:val="14"/>
        </w:numPr>
        <w:rPr>
          <w:rFonts w:ascii="Calibri" w:hAnsi="Calibri" w:eastAsia="宋体" w:cs="Times New Roman"/>
          <w:bCs/>
          <w:highlight w:val="none"/>
        </w:rPr>
      </w:pPr>
      <w:r>
        <w:rPr>
          <w:rFonts w:hint="eastAsia" w:ascii="Calibri" w:hAnsi="Calibri" w:eastAsia="宋体" w:cs="Times New Roman"/>
          <w:bCs/>
          <w:highlight w:val="none"/>
        </w:rPr>
        <w:t>为了处理模糊且不完全的环境信息，组织需要进行了解外部环境；</w:t>
      </w:r>
    </w:p>
    <w:p w14:paraId="0EF7489D">
      <w:pPr>
        <w:numPr>
          <w:ilvl w:val="0"/>
          <w:numId w:val="14"/>
        </w:numPr>
        <w:rPr>
          <w:rFonts w:ascii="Calibri" w:hAnsi="Calibri" w:eastAsia="宋体" w:cs="Times New Roman"/>
          <w:bCs/>
          <w:highlight w:val="none"/>
        </w:rPr>
      </w:pPr>
      <w:r>
        <w:rPr>
          <w:rFonts w:hint="eastAsia" w:ascii="Calibri" w:hAnsi="Calibri" w:eastAsia="宋体" w:cs="Times New Roman"/>
          <w:bCs/>
          <w:highlight w:val="none"/>
        </w:rPr>
        <w:t>研究外部环境的重要目的在于明确组织的机会和威胁，帮助企业制定并实施战略；</w:t>
      </w:r>
    </w:p>
    <w:p w14:paraId="3FA74AB0">
      <w:pPr>
        <w:numPr>
          <w:ilvl w:val="0"/>
          <w:numId w:val="14"/>
        </w:numPr>
        <w:rPr>
          <w:rFonts w:ascii="Calibri" w:hAnsi="Calibri" w:eastAsia="宋体" w:cs="Times New Roman"/>
          <w:bCs/>
          <w:highlight w:val="none"/>
        </w:rPr>
      </w:pPr>
      <w:r>
        <w:rPr>
          <w:rFonts w:hint="eastAsia" w:ascii="Calibri" w:hAnsi="Calibri" w:eastAsia="宋体" w:cs="Times New Roman"/>
          <w:bCs/>
          <w:highlight w:val="none"/>
        </w:rPr>
        <w:t>机会是存在于外部环境中的情形和条件，组织通过开发这些机会可以获得竞争优势；</w:t>
      </w:r>
    </w:p>
    <w:p w14:paraId="48295B11">
      <w:pPr>
        <w:numPr>
          <w:ilvl w:val="0"/>
          <w:numId w:val="14"/>
        </w:numPr>
        <w:rPr>
          <w:rFonts w:ascii="Calibri" w:hAnsi="Calibri" w:eastAsia="宋体" w:cs="Times New Roman"/>
          <w:bCs/>
          <w:highlight w:val="none"/>
        </w:rPr>
      </w:pPr>
      <w:r>
        <w:rPr>
          <w:rFonts w:hint="eastAsia" w:ascii="Calibri" w:hAnsi="Calibri" w:eastAsia="宋体" w:cs="Times New Roman"/>
          <w:bCs/>
          <w:highlight w:val="none"/>
        </w:rPr>
        <w:t>威胁是存在于外部环境中可能妨碍组织获得竞争优势的情形和条件。</w:t>
      </w:r>
      <w:r>
        <w:rPr>
          <w:rFonts w:ascii="Calibri" w:hAnsi="Calibri" w:eastAsia="宋体" w:cs="Times New Roman"/>
          <w:bCs/>
          <w:highlight w:val="none"/>
        </w:rPr>
        <w:t xml:space="preserve"> </w:t>
      </w:r>
    </w:p>
    <w:p w14:paraId="0D052323">
      <w:pPr>
        <w:ind w:firstLine="420" w:firstLineChars="200"/>
        <w:rPr>
          <w:rFonts w:ascii="Calibri" w:hAnsi="Calibri" w:eastAsia="宋体" w:cs="Times New Roman"/>
          <w:bCs/>
          <w:highlight w:val="none"/>
        </w:rPr>
      </w:pPr>
    </w:p>
    <w:p w14:paraId="0BE35749">
      <w:pPr>
        <w:ind w:firstLine="420" w:firstLineChars="200"/>
        <w:rPr>
          <w:rFonts w:ascii="Calibri" w:hAnsi="Calibri" w:eastAsia="宋体" w:cs="Times New Roman"/>
          <w:bCs/>
          <w:highlight w:val="none"/>
        </w:rPr>
      </w:pPr>
      <w:r>
        <w:rPr>
          <w:rFonts w:ascii="Calibri" w:hAnsi="Calibri" w:eastAsia="宋体" w:cs="Times New Roman"/>
          <w:bCs/>
          <w:highlight w:val="none"/>
        </w:rPr>
        <w:t>4</w:t>
      </w:r>
      <w:r>
        <w:rPr>
          <w:rFonts w:hint="eastAsia" w:ascii="Calibri" w:hAnsi="Calibri" w:eastAsia="宋体" w:cs="Times New Roman"/>
          <w:bCs/>
          <w:highlight w:val="none"/>
        </w:rPr>
        <w:t>、企业进行多元化经营的内部原因有哪些？</w:t>
      </w:r>
    </w:p>
    <w:p w14:paraId="647CBC80">
      <w:pPr>
        <w:ind w:firstLine="420" w:firstLineChars="200"/>
        <w:rPr>
          <w:rFonts w:ascii="Calibri" w:hAnsi="Calibri" w:eastAsia="宋体" w:cs="Times New Roman"/>
          <w:bCs/>
          <w:highlight w:val="none"/>
        </w:rPr>
      </w:pPr>
      <w:r>
        <w:rPr>
          <w:rFonts w:hint="eastAsia" w:ascii="Calibri" w:hAnsi="Calibri" w:eastAsia="宋体" w:cs="Times New Roman"/>
          <w:bCs/>
          <w:highlight w:val="none"/>
        </w:rPr>
        <w:t>答案可能包括：</w:t>
      </w:r>
    </w:p>
    <w:p w14:paraId="631B3980">
      <w:pPr>
        <w:numPr>
          <w:ilvl w:val="0"/>
          <w:numId w:val="15"/>
        </w:numPr>
        <w:rPr>
          <w:rFonts w:ascii="Calibri" w:hAnsi="Calibri" w:eastAsia="宋体" w:cs="Times New Roman"/>
          <w:bCs/>
          <w:highlight w:val="none"/>
        </w:rPr>
      </w:pPr>
      <w:r>
        <w:rPr>
          <w:rFonts w:hint="eastAsia" w:ascii="Calibri" w:hAnsi="Calibri" w:eastAsia="宋体" w:cs="Times New Roman"/>
          <w:bCs/>
          <w:highlight w:val="none"/>
        </w:rPr>
        <w:t>获得规模经济；</w:t>
      </w:r>
    </w:p>
    <w:p w14:paraId="44786592">
      <w:pPr>
        <w:numPr>
          <w:ilvl w:val="0"/>
          <w:numId w:val="15"/>
        </w:numPr>
        <w:rPr>
          <w:rFonts w:ascii="Calibri" w:hAnsi="Calibri" w:eastAsia="宋体" w:cs="Times New Roman"/>
          <w:bCs/>
          <w:highlight w:val="none"/>
        </w:rPr>
      </w:pPr>
      <w:r>
        <w:rPr>
          <w:rFonts w:hint="eastAsia" w:ascii="Calibri" w:hAnsi="Calibri" w:eastAsia="宋体" w:cs="Times New Roman"/>
          <w:bCs/>
          <w:highlight w:val="none"/>
        </w:rPr>
        <w:t>获得范围经济；</w:t>
      </w:r>
    </w:p>
    <w:p w14:paraId="514DAA84">
      <w:pPr>
        <w:numPr>
          <w:ilvl w:val="0"/>
          <w:numId w:val="15"/>
        </w:numPr>
        <w:rPr>
          <w:rFonts w:ascii="Calibri" w:hAnsi="Calibri" w:eastAsia="宋体" w:cs="Times New Roman"/>
          <w:bCs/>
          <w:highlight w:val="none"/>
        </w:rPr>
      </w:pPr>
      <w:r>
        <w:rPr>
          <w:rFonts w:hint="eastAsia" w:ascii="Calibri" w:hAnsi="Calibri" w:eastAsia="宋体" w:cs="Times New Roman"/>
          <w:bCs/>
          <w:highlight w:val="none"/>
        </w:rPr>
        <w:t>建立进入障碍；</w:t>
      </w:r>
    </w:p>
    <w:p w14:paraId="00C85613">
      <w:pPr>
        <w:numPr>
          <w:ilvl w:val="0"/>
          <w:numId w:val="15"/>
        </w:numPr>
        <w:rPr>
          <w:rFonts w:ascii="Calibri" w:hAnsi="Calibri" w:eastAsia="宋体" w:cs="Times New Roman"/>
          <w:bCs/>
          <w:highlight w:val="none"/>
        </w:rPr>
      </w:pPr>
      <w:r>
        <w:rPr>
          <w:rFonts w:hint="eastAsia" w:ascii="Calibri" w:hAnsi="Calibri" w:eastAsia="宋体" w:cs="Times New Roman"/>
          <w:bCs/>
          <w:highlight w:val="none"/>
        </w:rPr>
        <w:t>增强对市场的控制力；</w:t>
      </w:r>
    </w:p>
    <w:p w14:paraId="336B56E8">
      <w:pPr>
        <w:numPr>
          <w:ilvl w:val="0"/>
          <w:numId w:val="15"/>
        </w:numPr>
        <w:rPr>
          <w:rFonts w:ascii="Calibri" w:hAnsi="Calibri" w:eastAsia="宋体" w:cs="Times New Roman"/>
          <w:bCs/>
          <w:highlight w:val="none"/>
        </w:rPr>
      </w:pPr>
      <w:r>
        <w:rPr>
          <w:rFonts w:hint="eastAsia" w:ascii="Calibri" w:hAnsi="Calibri" w:eastAsia="宋体" w:cs="Times New Roman"/>
          <w:bCs/>
          <w:highlight w:val="none"/>
        </w:rPr>
        <w:t>降低经营风险；</w:t>
      </w:r>
    </w:p>
    <w:p w14:paraId="5FD34313">
      <w:pPr>
        <w:numPr>
          <w:ilvl w:val="0"/>
          <w:numId w:val="15"/>
        </w:numPr>
        <w:rPr>
          <w:rFonts w:ascii="Calibri" w:hAnsi="Calibri" w:eastAsia="宋体" w:cs="Times New Roman"/>
          <w:bCs/>
          <w:highlight w:val="none"/>
        </w:rPr>
      </w:pPr>
      <w:r>
        <w:rPr>
          <w:rFonts w:hint="eastAsia" w:ascii="Calibri" w:hAnsi="Calibri" w:eastAsia="宋体" w:cs="Times New Roman"/>
          <w:bCs/>
          <w:highlight w:val="none"/>
        </w:rPr>
        <w:t>保证产品和服务质量；</w:t>
      </w:r>
    </w:p>
    <w:p w14:paraId="0E8FA758">
      <w:pPr>
        <w:numPr>
          <w:ilvl w:val="0"/>
          <w:numId w:val="15"/>
        </w:numPr>
        <w:rPr>
          <w:rFonts w:ascii="Calibri" w:hAnsi="Calibri" w:eastAsia="宋体" w:cs="Times New Roman"/>
          <w:bCs/>
          <w:highlight w:val="none"/>
        </w:rPr>
      </w:pPr>
      <w:r>
        <w:rPr>
          <w:rFonts w:hint="eastAsia" w:ascii="Calibri" w:hAnsi="Calibri" w:eastAsia="宋体" w:cs="Times New Roman"/>
          <w:bCs/>
          <w:highlight w:val="none"/>
        </w:rPr>
        <w:t>纠正企业目标差距；</w:t>
      </w:r>
    </w:p>
    <w:p w14:paraId="432A033C">
      <w:pPr>
        <w:numPr>
          <w:ilvl w:val="0"/>
          <w:numId w:val="15"/>
        </w:numPr>
        <w:rPr>
          <w:rFonts w:ascii="Calibri" w:hAnsi="Calibri" w:eastAsia="宋体" w:cs="Times New Roman"/>
          <w:bCs/>
          <w:highlight w:val="none"/>
        </w:rPr>
      </w:pPr>
      <w:r>
        <w:rPr>
          <w:rFonts w:hint="eastAsia" w:ascii="Calibri" w:hAnsi="Calibri" w:eastAsia="宋体" w:cs="Times New Roman"/>
          <w:bCs/>
          <w:highlight w:val="none"/>
        </w:rPr>
        <w:t>促进企业加强内部管理</w:t>
      </w:r>
    </w:p>
    <w:p w14:paraId="1831B8FC">
      <w:pPr>
        <w:rPr>
          <w:rFonts w:ascii="Calibri" w:hAnsi="Calibri" w:eastAsia="宋体" w:cs="Times New Roman"/>
          <w:bCs/>
          <w:highlight w:val="none"/>
        </w:rPr>
      </w:pPr>
    </w:p>
    <w:p w14:paraId="5AF48C10">
      <w:pPr>
        <w:ind w:firstLine="420" w:firstLineChars="200"/>
        <w:rPr>
          <w:rFonts w:ascii="Calibri" w:hAnsi="Calibri" w:eastAsia="宋体" w:cs="Times New Roman"/>
          <w:bCs/>
          <w:highlight w:val="none"/>
        </w:rPr>
      </w:pPr>
      <w:r>
        <w:rPr>
          <w:rFonts w:ascii="Calibri" w:hAnsi="Calibri" w:eastAsia="宋体" w:cs="Times New Roman"/>
          <w:bCs/>
          <w:highlight w:val="none"/>
        </w:rPr>
        <w:t>5</w:t>
      </w:r>
      <w:r>
        <w:rPr>
          <w:rFonts w:hint="eastAsia" w:ascii="Calibri" w:hAnsi="Calibri" w:eastAsia="宋体" w:cs="Times New Roman"/>
          <w:bCs/>
          <w:highlight w:val="none"/>
        </w:rPr>
        <w:t>、</w:t>
      </w:r>
      <w:r>
        <w:rPr>
          <w:rFonts w:ascii="Calibri" w:hAnsi="Calibri" w:eastAsia="宋体" w:cs="Times New Roman"/>
          <w:bCs/>
          <w:highlight w:val="none"/>
        </w:rPr>
        <w:t xml:space="preserve"> </w:t>
      </w:r>
      <w:r>
        <w:rPr>
          <w:rFonts w:hint="eastAsia" w:ascii="Calibri" w:hAnsi="Calibri" w:eastAsia="宋体" w:cs="Times New Roman"/>
          <w:bCs/>
          <w:highlight w:val="none"/>
        </w:rPr>
        <w:t>企业的资源与能力之间存在什么关系？</w:t>
      </w:r>
    </w:p>
    <w:p w14:paraId="17BAD42B">
      <w:pPr>
        <w:ind w:firstLine="420" w:firstLineChars="200"/>
        <w:rPr>
          <w:rFonts w:ascii="Calibri" w:hAnsi="Calibri" w:eastAsia="宋体" w:cs="Times New Roman"/>
          <w:bCs/>
          <w:highlight w:val="none"/>
        </w:rPr>
      </w:pPr>
      <w:r>
        <w:rPr>
          <w:rFonts w:hint="eastAsia" w:ascii="Calibri" w:hAnsi="Calibri" w:eastAsia="宋体" w:cs="Times New Roman"/>
          <w:bCs/>
          <w:highlight w:val="none"/>
        </w:rPr>
        <w:t>答案可能包括：</w:t>
      </w:r>
    </w:p>
    <w:p w14:paraId="574DEDA5">
      <w:pPr>
        <w:numPr>
          <w:ilvl w:val="0"/>
          <w:numId w:val="16"/>
        </w:numPr>
        <w:jc w:val="left"/>
        <w:rPr>
          <w:rFonts w:ascii="Calibri" w:hAnsi="Calibri" w:eastAsia="宋体" w:cs="Times New Roman"/>
          <w:bCs/>
          <w:highlight w:val="none"/>
        </w:rPr>
      </w:pPr>
      <w:r>
        <w:rPr>
          <w:rFonts w:hint="eastAsia" w:ascii="Calibri" w:hAnsi="Calibri" w:eastAsia="宋体" w:cs="Times New Roman"/>
          <w:bCs/>
          <w:highlight w:val="none"/>
        </w:rPr>
        <w:t>企业的资源具有一定的稳定性，特别是有形资源的存量只能通过流量来改变，但企业能力没有这样的特性，企业能力的建立具有突变性，在不合适的管理下，企业很可能迅速失去一些能力。</w:t>
      </w:r>
    </w:p>
    <w:p w14:paraId="0B19F4CD">
      <w:pPr>
        <w:numPr>
          <w:ilvl w:val="0"/>
          <w:numId w:val="16"/>
        </w:numPr>
        <w:jc w:val="left"/>
        <w:rPr>
          <w:rFonts w:ascii="Calibri" w:hAnsi="Calibri" w:eastAsia="宋体" w:cs="Times New Roman"/>
          <w:bCs/>
          <w:highlight w:val="none"/>
        </w:rPr>
      </w:pPr>
      <w:r>
        <w:rPr>
          <w:rFonts w:hint="eastAsia" w:ascii="Calibri" w:hAnsi="Calibri" w:eastAsia="宋体" w:cs="Times New Roman"/>
          <w:bCs/>
          <w:highlight w:val="none"/>
        </w:rPr>
        <w:t>资源一般来说具有可转移性，即可以从一个企业转移到另外一个企业，但是一个企业所具有的能力却很难转移到另一个企业。</w:t>
      </w:r>
    </w:p>
    <w:p w14:paraId="5DB5F041">
      <w:pPr>
        <w:numPr>
          <w:ilvl w:val="0"/>
          <w:numId w:val="16"/>
        </w:numPr>
        <w:jc w:val="left"/>
        <w:rPr>
          <w:rFonts w:ascii="Calibri" w:hAnsi="Calibri" w:eastAsia="宋体" w:cs="Times New Roman"/>
          <w:szCs w:val="21"/>
          <w:highlight w:val="none"/>
        </w:rPr>
      </w:pPr>
      <w:r>
        <w:rPr>
          <w:rFonts w:hint="eastAsia" w:ascii="Calibri" w:hAnsi="Calibri" w:eastAsia="宋体" w:cs="Times New Roman"/>
          <w:bCs/>
          <w:highlight w:val="none"/>
        </w:rPr>
        <w:t>资源是能力的基础，当企业某些运营流程作用于相应的资源时，能力就发挥出来了。</w:t>
      </w:r>
    </w:p>
    <w:p w14:paraId="3F9531F8">
      <w:pPr>
        <w:spacing w:line="360" w:lineRule="auto"/>
        <w:rPr>
          <w:rFonts w:ascii="黑体" w:hAnsi="黑体" w:eastAsia="黑体"/>
          <w:sz w:val="24"/>
          <w:szCs w:val="24"/>
          <w:highlight w:val="none"/>
        </w:rPr>
      </w:pPr>
    </w:p>
    <w:p w14:paraId="36397AE2">
      <w:pPr>
        <w:pStyle w:val="11"/>
        <w:numPr>
          <w:ilvl w:val="0"/>
          <w:numId w:val="11"/>
        </w:numPr>
        <w:spacing w:line="360" w:lineRule="auto"/>
        <w:ind w:firstLineChars="0"/>
        <w:rPr>
          <w:rFonts w:ascii="黑体" w:hAnsi="黑体" w:eastAsia="黑体"/>
          <w:sz w:val="24"/>
          <w:szCs w:val="24"/>
          <w:highlight w:val="none"/>
        </w:rPr>
      </w:pPr>
      <w:r>
        <w:rPr>
          <w:rFonts w:hint="eastAsia" w:ascii="黑体" w:hAnsi="黑体" w:eastAsia="黑体"/>
          <w:sz w:val="24"/>
          <w:szCs w:val="24"/>
          <w:highlight w:val="none"/>
        </w:rPr>
        <w:t>论述题</w:t>
      </w:r>
    </w:p>
    <w:p w14:paraId="0E775BA5">
      <w:pPr>
        <w:ind w:firstLine="420" w:firstLineChars="200"/>
        <w:rPr>
          <w:szCs w:val="21"/>
          <w:highlight w:val="none"/>
        </w:rPr>
      </w:pPr>
      <w:r>
        <w:rPr>
          <w:rFonts w:hint="eastAsia"/>
          <w:szCs w:val="21"/>
          <w:highlight w:val="none"/>
        </w:rPr>
        <w:t>“随着行业生命周期的演进，企业应该及时地调整自己的战略。”请就这一主题展开论述：结合不同的行业生命周期阶段来讨论企业应该采用何种战略，从而在该阶段的竞争中建立竞争优势。</w:t>
      </w:r>
    </w:p>
    <w:p w14:paraId="7BB44AB0">
      <w:pPr>
        <w:ind w:firstLine="422" w:firstLineChars="200"/>
        <w:rPr>
          <w:szCs w:val="21"/>
          <w:highlight w:val="none"/>
        </w:rPr>
      </w:pPr>
      <w:r>
        <w:rPr>
          <w:rFonts w:hint="eastAsia"/>
          <w:b/>
          <w:szCs w:val="21"/>
          <w:highlight w:val="none"/>
        </w:rPr>
        <w:t>答：</w:t>
      </w:r>
      <w:r>
        <w:rPr>
          <w:rFonts w:hint="eastAsia"/>
          <w:szCs w:val="21"/>
          <w:highlight w:val="none"/>
        </w:rPr>
        <w:t>首先画出行业的生命周期曲线，包含了引入、快速成长、震荡、成熟期、衰退期。每一个阶段都有其特点：</w:t>
      </w:r>
    </w:p>
    <w:p w14:paraId="4CAB40A6">
      <w:pPr>
        <w:ind w:firstLine="420" w:firstLineChars="200"/>
        <w:rPr>
          <w:szCs w:val="21"/>
          <w:highlight w:val="none"/>
        </w:rPr>
      </w:pPr>
      <w:r>
        <w:rPr>
          <w:rFonts w:hint="eastAsia"/>
          <w:szCs w:val="21"/>
          <w:highlight w:val="none"/>
        </w:rPr>
        <w:t>（1）引入期的最大特点是不确定性，技术路线、产品设计、客户需求、渠道等，都需要探索，因此在此时期的战略应该是快速试错，找到主导模式；</w:t>
      </w:r>
    </w:p>
    <w:p w14:paraId="0C5A717C">
      <w:pPr>
        <w:ind w:firstLine="420" w:firstLineChars="200"/>
        <w:rPr>
          <w:szCs w:val="21"/>
          <w:highlight w:val="none"/>
        </w:rPr>
      </w:pPr>
      <w:r>
        <w:rPr>
          <w:rFonts w:hint="eastAsia"/>
          <w:szCs w:val="21"/>
          <w:highlight w:val="none"/>
        </w:rPr>
        <w:t>（2）成长期是在上述很多方面已经比较清晰的情况下，需要迅速地扩张占据市场份额，所以要采用成长战略；</w:t>
      </w:r>
    </w:p>
    <w:p w14:paraId="77567267">
      <w:pPr>
        <w:ind w:firstLine="420" w:firstLineChars="200"/>
        <w:rPr>
          <w:szCs w:val="21"/>
          <w:highlight w:val="none"/>
        </w:rPr>
      </w:pPr>
      <w:r>
        <w:rPr>
          <w:rFonts w:hint="eastAsia"/>
          <w:szCs w:val="21"/>
          <w:highlight w:val="none"/>
        </w:rPr>
        <w:t>（3）震荡期阶段会发生严酷的竞争，对于地位强大的企业可以借机获得其他企业的份额，对于实力稍弱的就要强化自己的竞争优势，转向集中战略，而要退出的企业则可以采取收割战略；</w:t>
      </w:r>
    </w:p>
    <w:p w14:paraId="271E6946">
      <w:pPr>
        <w:ind w:firstLine="420" w:firstLineChars="200"/>
        <w:rPr>
          <w:szCs w:val="21"/>
          <w:highlight w:val="none"/>
        </w:rPr>
      </w:pPr>
      <w:r>
        <w:rPr>
          <w:rFonts w:hint="eastAsia"/>
          <w:szCs w:val="21"/>
          <w:highlight w:val="none"/>
        </w:rPr>
        <w:t>（4）成熟期阶段的企业则是立足于提高效率，巩固市场份额，提高盈利能力，即维持战略。</w:t>
      </w:r>
    </w:p>
    <w:p w14:paraId="7FCA1AD3">
      <w:pPr>
        <w:ind w:firstLine="420" w:firstLineChars="200"/>
        <w:rPr>
          <w:szCs w:val="21"/>
          <w:highlight w:val="none"/>
        </w:rPr>
      </w:pPr>
      <w:r>
        <w:rPr>
          <w:rFonts w:hint="eastAsia"/>
          <w:szCs w:val="21"/>
          <w:highlight w:val="none"/>
        </w:rPr>
        <w:t>（5）假如企业进入衰退期，企业有一方面要评估自己在这个行业的盈利能力，另一方面则应寻求多元化或者转型。</w:t>
      </w:r>
    </w:p>
    <w:p w14:paraId="4C78C97B">
      <w:pPr>
        <w:spacing w:line="300" w:lineRule="auto"/>
        <w:ind w:firstLine="420" w:firstLineChars="200"/>
        <w:rPr>
          <w:rFonts w:ascii="宋体" w:hAnsi="宋体" w:eastAsia="宋体" w:cs="Times New Roman"/>
          <w:bCs/>
          <w:highlight w:val="none"/>
        </w:rPr>
      </w:pPr>
    </w:p>
    <w:p w14:paraId="20FE4EC2">
      <w:pPr>
        <w:spacing w:line="300" w:lineRule="auto"/>
        <w:ind w:firstLine="420" w:firstLineChars="200"/>
        <w:rPr>
          <w:rFonts w:ascii="宋体" w:hAnsi="宋体" w:eastAsia="宋体" w:cs="Times New Roman"/>
          <w:bCs/>
          <w:highlight w:val="none"/>
        </w:rPr>
      </w:pPr>
      <w:r>
        <w:rPr>
          <w:rFonts w:hint="eastAsia" w:ascii="宋体" w:hAnsi="宋体" w:eastAsia="宋体" w:cs="Times New Roman"/>
          <w:bCs/>
          <w:highlight w:val="none"/>
        </w:rPr>
        <w:t>请论述企业进行国际化经营的动机和国际化扩张的潜在风险。</w:t>
      </w:r>
    </w:p>
    <w:p w14:paraId="71ED72FF">
      <w:pPr>
        <w:ind w:firstLine="420" w:firstLineChars="200"/>
        <w:jc w:val="left"/>
        <w:rPr>
          <w:rFonts w:hint="eastAsia" w:ascii="Calibri" w:hAnsi="Calibri" w:eastAsia="宋体" w:cs="Times New Roman"/>
          <w:szCs w:val="21"/>
          <w:highlight w:val="none"/>
        </w:rPr>
      </w:pPr>
      <w:r>
        <w:rPr>
          <w:rFonts w:hint="eastAsia" w:ascii="宋体" w:hAnsi="宋体" w:eastAsia="宋体" w:cs="Times New Roman"/>
          <w:bCs/>
          <w:highlight w:val="none"/>
        </w:rPr>
        <w:t>国际化经营的动机</w:t>
      </w:r>
      <w:r>
        <w:rPr>
          <w:rFonts w:hint="eastAsia" w:ascii="Calibri" w:hAnsi="Calibri" w:eastAsia="宋体" w:cs="Times New Roman"/>
          <w:szCs w:val="21"/>
          <w:highlight w:val="none"/>
        </w:rPr>
        <w:t>可能包括：</w:t>
      </w:r>
    </w:p>
    <w:p w14:paraId="6D5A7A78">
      <w:pPr>
        <w:numPr>
          <w:ilvl w:val="0"/>
          <w:numId w:val="17"/>
        </w:numPr>
        <w:jc w:val="left"/>
        <w:rPr>
          <w:rFonts w:ascii="Calibri" w:hAnsi="Calibri" w:eastAsia="宋体" w:cs="Times New Roman"/>
          <w:szCs w:val="21"/>
          <w:highlight w:val="none"/>
        </w:rPr>
      </w:pPr>
      <w:r>
        <w:rPr>
          <w:rFonts w:hint="eastAsia" w:ascii="Calibri" w:hAnsi="Calibri" w:eastAsia="宋体" w:cs="Times New Roman"/>
          <w:szCs w:val="21"/>
          <w:highlight w:val="none"/>
        </w:rPr>
        <w:t>为公司的产品或服务寻找新的顾客；</w:t>
      </w:r>
    </w:p>
    <w:p w14:paraId="3A0FF8BB">
      <w:pPr>
        <w:numPr>
          <w:ilvl w:val="0"/>
          <w:numId w:val="17"/>
        </w:numPr>
        <w:jc w:val="left"/>
        <w:rPr>
          <w:rFonts w:ascii="Calibri" w:hAnsi="Calibri" w:eastAsia="宋体" w:cs="Times New Roman"/>
          <w:szCs w:val="21"/>
          <w:highlight w:val="none"/>
        </w:rPr>
      </w:pPr>
      <w:r>
        <w:rPr>
          <w:rFonts w:hint="eastAsia" w:ascii="Calibri" w:hAnsi="Calibri" w:eastAsia="宋体" w:cs="Times New Roman"/>
          <w:szCs w:val="21"/>
          <w:highlight w:val="none"/>
        </w:rPr>
        <w:t>降低成本的竞争；</w:t>
      </w:r>
    </w:p>
    <w:p w14:paraId="499487AC">
      <w:pPr>
        <w:numPr>
          <w:ilvl w:val="0"/>
          <w:numId w:val="17"/>
        </w:numPr>
        <w:jc w:val="left"/>
        <w:rPr>
          <w:rFonts w:ascii="Calibri" w:hAnsi="Calibri" w:eastAsia="宋体" w:cs="Times New Roman"/>
          <w:szCs w:val="21"/>
          <w:highlight w:val="none"/>
        </w:rPr>
      </w:pPr>
      <w:r>
        <w:rPr>
          <w:rFonts w:hint="eastAsia" w:ascii="Calibri" w:hAnsi="Calibri" w:eastAsia="宋体" w:cs="Times New Roman"/>
          <w:szCs w:val="21"/>
          <w:highlight w:val="none"/>
        </w:rPr>
        <w:t>充分利用公司的能力和资源强势；</w:t>
      </w:r>
    </w:p>
    <w:p w14:paraId="0F24010B">
      <w:pPr>
        <w:numPr>
          <w:ilvl w:val="0"/>
          <w:numId w:val="17"/>
        </w:numPr>
        <w:jc w:val="left"/>
        <w:rPr>
          <w:rFonts w:ascii="Calibri" w:hAnsi="Calibri" w:eastAsia="宋体" w:cs="Times New Roman"/>
          <w:szCs w:val="21"/>
          <w:highlight w:val="none"/>
        </w:rPr>
      </w:pPr>
      <w:r>
        <w:rPr>
          <w:rFonts w:hint="eastAsia" w:ascii="Calibri" w:hAnsi="Calibri" w:eastAsia="宋体" w:cs="Times New Roman"/>
          <w:szCs w:val="21"/>
          <w:highlight w:val="none"/>
        </w:rPr>
        <w:t>获得其他国家的宝贵自然资源；</w:t>
      </w:r>
    </w:p>
    <w:p w14:paraId="3A296B4A">
      <w:pPr>
        <w:numPr>
          <w:ilvl w:val="0"/>
          <w:numId w:val="17"/>
        </w:numPr>
        <w:jc w:val="left"/>
        <w:rPr>
          <w:rFonts w:ascii="Calibri" w:hAnsi="Calibri" w:eastAsia="宋体" w:cs="Times New Roman"/>
          <w:szCs w:val="21"/>
          <w:highlight w:val="none"/>
        </w:rPr>
      </w:pPr>
      <w:r>
        <w:rPr>
          <w:rFonts w:hint="eastAsia" w:ascii="Calibri" w:hAnsi="Calibri" w:eastAsia="宋体" w:cs="Times New Roman"/>
          <w:szCs w:val="21"/>
          <w:highlight w:val="none"/>
        </w:rPr>
        <w:t>在一个更广泛的市场基础上分散商业风险。</w:t>
      </w:r>
    </w:p>
    <w:p w14:paraId="7DE8BA48">
      <w:pPr>
        <w:ind w:firstLine="420" w:firstLineChars="200"/>
        <w:jc w:val="left"/>
        <w:rPr>
          <w:rFonts w:ascii="Calibri" w:hAnsi="Calibri" w:eastAsia="宋体" w:cs="Times New Roman"/>
          <w:szCs w:val="21"/>
          <w:highlight w:val="none"/>
        </w:rPr>
      </w:pPr>
    </w:p>
    <w:p w14:paraId="740DDF44">
      <w:pPr>
        <w:ind w:firstLine="420" w:firstLineChars="200"/>
        <w:jc w:val="left"/>
        <w:rPr>
          <w:rFonts w:ascii="Calibri" w:hAnsi="Calibri" w:eastAsia="宋体" w:cs="Times New Roman"/>
          <w:szCs w:val="21"/>
          <w:highlight w:val="none"/>
        </w:rPr>
      </w:pPr>
      <w:r>
        <w:rPr>
          <w:rFonts w:hint="eastAsia" w:ascii="Calibri" w:hAnsi="Calibri" w:eastAsia="宋体" w:cs="Times New Roman"/>
          <w:szCs w:val="21"/>
          <w:highlight w:val="none"/>
        </w:rPr>
        <w:t>国际化扩张的潜在风险可能包括：</w:t>
      </w:r>
    </w:p>
    <w:p w14:paraId="240E47A5">
      <w:pPr>
        <w:numPr>
          <w:ilvl w:val="0"/>
          <w:numId w:val="18"/>
        </w:numPr>
        <w:jc w:val="left"/>
        <w:rPr>
          <w:rFonts w:ascii="Calibri" w:hAnsi="Calibri" w:eastAsia="宋体" w:cs="Times New Roman"/>
          <w:szCs w:val="21"/>
          <w:highlight w:val="none"/>
        </w:rPr>
      </w:pPr>
      <w:r>
        <w:rPr>
          <w:rFonts w:hint="eastAsia" w:ascii="Calibri" w:hAnsi="Calibri" w:eastAsia="宋体" w:cs="Times New Roman"/>
          <w:szCs w:val="21"/>
          <w:highlight w:val="none"/>
        </w:rPr>
        <w:t>政治法律风险，包括政府障碍、关税和其他税费、配额等；</w:t>
      </w:r>
    </w:p>
    <w:p w14:paraId="499FE47B">
      <w:pPr>
        <w:numPr>
          <w:ilvl w:val="0"/>
          <w:numId w:val="18"/>
        </w:numPr>
        <w:jc w:val="left"/>
        <w:rPr>
          <w:rFonts w:ascii="Calibri" w:hAnsi="Calibri" w:eastAsia="宋体" w:cs="Times New Roman"/>
          <w:szCs w:val="21"/>
          <w:highlight w:val="none"/>
        </w:rPr>
      </w:pPr>
      <w:r>
        <w:rPr>
          <w:rFonts w:hint="eastAsia" w:ascii="Calibri" w:hAnsi="Calibri" w:eastAsia="宋体" w:cs="Times New Roman"/>
          <w:szCs w:val="21"/>
          <w:highlight w:val="none"/>
        </w:rPr>
        <w:t>经济风险，主要有运输和储存成本过高、产品需要的差异性过大、销售力量不足、对交货时间敏感等；</w:t>
      </w:r>
    </w:p>
    <w:p w14:paraId="6D7774C9">
      <w:pPr>
        <w:numPr>
          <w:ilvl w:val="0"/>
          <w:numId w:val="18"/>
        </w:numPr>
        <w:jc w:val="left"/>
        <w:rPr>
          <w:rFonts w:ascii="Calibri" w:hAnsi="Calibri" w:eastAsia="宋体" w:cs="Times New Roman"/>
          <w:szCs w:val="21"/>
          <w:highlight w:val="none"/>
        </w:rPr>
      </w:pPr>
      <w:r>
        <w:rPr>
          <w:rFonts w:hint="eastAsia" w:ascii="Calibri" w:hAnsi="Calibri" w:eastAsia="宋体" w:cs="Times New Roman"/>
          <w:szCs w:val="21"/>
          <w:highlight w:val="none"/>
        </w:rPr>
        <w:t>货币风险，主要指货币波动造成实质性风险；</w:t>
      </w:r>
    </w:p>
    <w:p w14:paraId="2457D7DF">
      <w:pPr>
        <w:numPr>
          <w:ilvl w:val="0"/>
          <w:numId w:val="18"/>
        </w:numPr>
        <w:jc w:val="left"/>
        <w:rPr>
          <w:rFonts w:ascii="Calibri" w:hAnsi="Calibri" w:eastAsia="宋体" w:cs="Times New Roman"/>
          <w:szCs w:val="21"/>
          <w:highlight w:val="none"/>
        </w:rPr>
      </w:pPr>
      <w:r>
        <w:rPr>
          <w:rFonts w:hint="eastAsia" w:ascii="Calibri" w:hAnsi="Calibri" w:eastAsia="宋体" w:cs="Times New Roman"/>
          <w:szCs w:val="21"/>
          <w:highlight w:val="none"/>
        </w:rPr>
        <w:t>管理风险，是指管理者在国外市场中遇到不可避免的差异，而又必须做出回应时，所面临的挑战和风险。</w:t>
      </w:r>
    </w:p>
    <w:p w14:paraId="65742092">
      <w:pPr>
        <w:ind w:firstLine="420" w:firstLineChars="200"/>
        <w:rPr>
          <w:szCs w:val="21"/>
          <w:highlight w:val="none"/>
        </w:rPr>
      </w:pPr>
    </w:p>
    <w:p w14:paraId="5DD6FD8E">
      <w:pPr>
        <w:rPr>
          <w:rFonts w:ascii="黑体" w:hAnsi="黑体" w:eastAsia="黑体"/>
          <w:sz w:val="24"/>
          <w:szCs w:val="24"/>
          <w:highlight w:val="none"/>
        </w:rPr>
      </w:pPr>
      <w:r>
        <w:rPr>
          <w:rFonts w:hint="eastAsia" w:ascii="黑体" w:hAnsi="黑体" w:eastAsia="黑体"/>
          <w:sz w:val="24"/>
          <w:szCs w:val="24"/>
          <w:highlight w:val="none"/>
        </w:rPr>
        <w:t>五、案例分析题</w:t>
      </w:r>
    </w:p>
    <w:p w14:paraId="03EE7700">
      <w:pPr>
        <w:ind w:firstLine="420" w:firstLineChars="200"/>
        <w:rPr>
          <w:bCs/>
          <w:highlight w:val="none"/>
        </w:rPr>
      </w:pPr>
      <w:r>
        <w:rPr>
          <w:rFonts w:hint="eastAsia"/>
          <w:bCs/>
          <w:highlight w:val="none"/>
        </w:rPr>
        <w:t>1、2016年的国内零售电商环境发生了哪些变化？</w:t>
      </w:r>
    </w:p>
    <w:p w14:paraId="07053AC7">
      <w:pPr>
        <w:ind w:firstLine="420" w:firstLineChars="200"/>
        <w:rPr>
          <w:bCs/>
          <w:highlight w:val="none"/>
        </w:rPr>
      </w:pPr>
      <w:r>
        <w:rPr>
          <w:rFonts w:hint="eastAsia"/>
          <w:bCs/>
          <w:highlight w:val="none"/>
        </w:rPr>
        <w:t>答案可能包括：</w:t>
      </w:r>
    </w:p>
    <w:p w14:paraId="6DBFD450">
      <w:pPr>
        <w:pStyle w:val="11"/>
        <w:numPr>
          <w:ilvl w:val="0"/>
          <w:numId w:val="13"/>
        </w:numPr>
        <w:ind w:firstLineChars="0"/>
        <w:rPr>
          <w:bCs/>
          <w:highlight w:val="none"/>
        </w:rPr>
      </w:pPr>
      <w:r>
        <w:rPr>
          <w:rFonts w:hint="eastAsia"/>
          <w:bCs/>
          <w:highlight w:val="none"/>
        </w:rPr>
        <w:t>天猫的市场龙头地位短期难以撼动。无论从品牌形象、营销手段还是配送、售后环节来看，天猫都有明显优势，长期占据市场一半以上的份额，这是天猫优势最有力的证明，同时也是短时期内难以改变的事实。</w:t>
      </w:r>
    </w:p>
    <w:p w14:paraId="1D4F477C">
      <w:pPr>
        <w:pStyle w:val="11"/>
        <w:numPr>
          <w:ilvl w:val="0"/>
          <w:numId w:val="13"/>
        </w:numPr>
        <w:ind w:firstLineChars="0"/>
        <w:rPr>
          <w:bCs/>
          <w:highlight w:val="none"/>
        </w:rPr>
      </w:pPr>
      <w:r>
        <w:rPr>
          <w:rFonts w:hint="eastAsia"/>
          <w:bCs/>
          <w:highlight w:val="none"/>
        </w:rPr>
        <w:t>电商平台梯队化趋势初现。天猫、京东、苏宁易购形成B2C电商领域的第一梯队，占据80%以上的市场份额；第二梯队中，唯品会、1号店等主流电商市场相对稳定，但始终没有形成局面。</w:t>
      </w:r>
    </w:p>
    <w:p w14:paraId="34D5D433">
      <w:pPr>
        <w:pStyle w:val="11"/>
        <w:numPr>
          <w:ilvl w:val="0"/>
          <w:numId w:val="13"/>
        </w:numPr>
        <w:ind w:firstLineChars="0"/>
        <w:rPr>
          <w:bCs/>
          <w:highlight w:val="none"/>
        </w:rPr>
      </w:pPr>
      <w:r>
        <w:rPr>
          <w:rFonts w:hint="eastAsia"/>
          <w:bCs/>
          <w:highlight w:val="none"/>
        </w:rPr>
        <w:t>新进入者门槛高。网上零售市场的进入成本和挑战成本居高不下，市场进入难度越来越大，除上述10家主流电商平台外，其他电商市场份额仅占6%左右，没有明显提升。新进入者在零售电商市场发展成熟期想要有所作为、进入第一、二梯队难度非常大。</w:t>
      </w:r>
    </w:p>
    <w:p w14:paraId="646361B6">
      <w:pPr>
        <w:rPr>
          <w:bCs/>
          <w:highlight w:val="none"/>
        </w:rPr>
      </w:pPr>
    </w:p>
    <w:p w14:paraId="0F9E9E8A">
      <w:pPr>
        <w:ind w:firstLine="420" w:firstLineChars="200"/>
        <w:rPr>
          <w:bCs/>
          <w:highlight w:val="none"/>
        </w:rPr>
      </w:pPr>
      <w:r>
        <w:rPr>
          <w:rFonts w:hint="eastAsia"/>
          <w:bCs/>
          <w:highlight w:val="none"/>
        </w:rPr>
        <w:t>2、这些变化给网易严选带来了什么样的机遇与挑战？</w:t>
      </w:r>
    </w:p>
    <w:p w14:paraId="5093737A">
      <w:pPr>
        <w:ind w:firstLine="420" w:firstLineChars="200"/>
        <w:rPr>
          <w:bCs/>
          <w:highlight w:val="none"/>
        </w:rPr>
      </w:pPr>
      <w:r>
        <w:rPr>
          <w:rFonts w:hint="eastAsia"/>
          <w:bCs/>
          <w:highlight w:val="none"/>
        </w:rPr>
        <w:t>答案可能包括：</w:t>
      </w:r>
    </w:p>
    <w:p w14:paraId="2EB0B99D">
      <w:pPr>
        <w:pStyle w:val="11"/>
        <w:numPr>
          <w:ilvl w:val="0"/>
          <w:numId w:val="13"/>
        </w:numPr>
        <w:ind w:firstLineChars="0"/>
        <w:rPr>
          <w:bCs/>
          <w:highlight w:val="none"/>
        </w:rPr>
      </w:pPr>
      <w:r>
        <w:rPr>
          <w:rFonts w:hint="eastAsia"/>
          <w:bCs/>
          <w:highlight w:val="none"/>
        </w:rPr>
        <w:t>在电商规模不断扩张的情形下，整体增速将在合理区间活动。</w:t>
      </w:r>
    </w:p>
    <w:p w14:paraId="09696FA8">
      <w:pPr>
        <w:pStyle w:val="11"/>
        <w:numPr>
          <w:ilvl w:val="0"/>
          <w:numId w:val="13"/>
        </w:numPr>
        <w:ind w:firstLineChars="0"/>
        <w:rPr>
          <w:bCs/>
          <w:highlight w:val="none"/>
        </w:rPr>
      </w:pPr>
      <w:r>
        <w:rPr>
          <w:rFonts w:hint="eastAsia"/>
          <w:bCs/>
          <w:highlight w:val="none"/>
        </w:rPr>
        <w:t>中国B2C网络零售市场的格局虽然大体趋于稳定，市场也在逐渐向着规范化、品质化和多元化的方向演变。</w:t>
      </w:r>
    </w:p>
    <w:p w14:paraId="26EB1E71">
      <w:pPr>
        <w:pStyle w:val="11"/>
        <w:numPr>
          <w:ilvl w:val="0"/>
          <w:numId w:val="13"/>
        </w:numPr>
        <w:ind w:firstLineChars="0"/>
        <w:rPr>
          <w:bCs/>
          <w:highlight w:val="none"/>
        </w:rPr>
      </w:pPr>
      <w:r>
        <w:rPr>
          <w:rFonts w:hint="eastAsia"/>
          <w:bCs/>
          <w:highlight w:val="none"/>
        </w:rPr>
        <w:t>各电商推出细分业务，如农村电商、跨境电商、母婴电商、消费金融、物流服务等领域，以此来增加自己的市场渗透率，从而稳固自己的“地位”，这些领域将成为网络购物市场发展新的蓝海。</w:t>
      </w:r>
    </w:p>
    <w:p w14:paraId="24D1414D">
      <w:pPr>
        <w:pStyle w:val="11"/>
        <w:numPr>
          <w:ilvl w:val="0"/>
          <w:numId w:val="13"/>
        </w:numPr>
        <w:ind w:firstLineChars="0"/>
        <w:rPr>
          <w:bCs/>
          <w:highlight w:val="none"/>
        </w:rPr>
      </w:pPr>
      <w:r>
        <w:rPr>
          <w:rFonts w:hint="eastAsia"/>
          <w:bCs/>
          <w:highlight w:val="none"/>
        </w:rPr>
        <w:t>随着网购市场的成熟，消费趋势日渐升级，产品品质与服务水平逐渐成为用户网购选择的重要因素，在大环境的升级趋势下，这将成为网购行业的主要推动力。</w:t>
      </w:r>
    </w:p>
    <w:p w14:paraId="0DE61942">
      <w:pPr>
        <w:rPr>
          <w:bCs/>
          <w:highlight w:val="none"/>
        </w:rPr>
      </w:pPr>
    </w:p>
    <w:p w14:paraId="3D56CF24">
      <w:pPr>
        <w:spacing w:line="360" w:lineRule="auto"/>
        <w:ind w:firstLine="420" w:firstLineChars="200"/>
        <w:rPr>
          <w:rFonts w:ascii="黑体" w:hAnsi="黑体" w:eastAsia="黑体" w:cs="Times New Roman"/>
          <w:sz w:val="24"/>
          <w:szCs w:val="24"/>
          <w:highlight w:val="none"/>
        </w:rPr>
      </w:pPr>
      <w:r>
        <w:rPr>
          <w:rFonts w:hint="eastAsia" w:ascii="宋体" w:hAnsi="宋体" w:eastAsia="宋体" w:cs="Times New Roman"/>
          <w:bCs/>
          <w:highlight w:val="none"/>
        </w:rPr>
        <w:t>什么是一般竞争战略？分析爱奇艺的差异化战略。</w:t>
      </w:r>
    </w:p>
    <w:p w14:paraId="29F7808B">
      <w:pPr>
        <w:numPr>
          <w:ilvl w:val="0"/>
          <w:numId w:val="19"/>
        </w:numPr>
        <w:rPr>
          <w:rFonts w:hint="eastAsia" w:ascii="Calibri" w:hAnsi="Calibri" w:eastAsia="宋体" w:cs="Times New Roman"/>
          <w:bCs/>
          <w:highlight w:val="none"/>
        </w:rPr>
      </w:pPr>
      <w:r>
        <w:rPr>
          <w:rFonts w:hint="eastAsia" w:ascii="Calibri" w:hAnsi="Calibri" w:eastAsia="宋体" w:cs="Times New Roman"/>
          <w:bCs/>
          <w:highlight w:val="none"/>
        </w:rPr>
        <w:t>产品差异化——版权</w:t>
      </w:r>
      <w:r>
        <w:rPr>
          <w:rFonts w:ascii="Calibri" w:hAnsi="Calibri" w:eastAsia="宋体" w:cs="Times New Roman"/>
          <w:bCs/>
          <w:highlight w:val="none"/>
        </w:rPr>
        <w:t>+</w:t>
      </w:r>
      <w:r>
        <w:rPr>
          <w:rFonts w:hint="eastAsia" w:ascii="Calibri" w:hAnsi="Calibri" w:eastAsia="宋体" w:cs="Times New Roman"/>
          <w:bCs/>
          <w:highlight w:val="none"/>
        </w:rPr>
        <w:t>自制内容</w:t>
      </w:r>
    </w:p>
    <w:p w14:paraId="0B424CB8">
      <w:pPr>
        <w:numPr>
          <w:ilvl w:val="1"/>
          <w:numId w:val="19"/>
        </w:numPr>
        <w:rPr>
          <w:rFonts w:ascii="Calibri" w:hAnsi="Calibri" w:eastAsia="宋体" w:cs="Times New Roman"/>
          <w:bCs/>
          <w:highlight w:val="none"/>
        </w:rPr>
      </w:pPr>
      <w:r>
        <w:rPr>
          <w:rFonts w:hint="eastAsia" w:ascii="Calibri" w:hAnsi="Calibri" w:eastAsia="宋体" w:cs="Times New Roman"/>
          <w:bCs/>
          <w:highlight w:val="none"/>
        </w:rPr>
        <w:t>注重从版权方面求差异，打造行业的内容爆款；</w:t>
      </w:r>
    </w:p>
    <w:p w14:paraId="01A60DA2">
      <w:pPr>
        <w:numPr>
          <w:ilvl w:val="1"/>
          <w:numId w:val="19"/>
        </w:numPr>
        <w:rPr>
          <w:rFonts w:ascii="Calibri" w:hAnsi="Calibri" w:eastAsia="宋体" w:cs="Times New Roman"/>
          <w:bCs/>
          <w:highlight w:val="none"/>
        </w:rPr>
      </w:pPr>
      <w:r>
        <w:rPr>
          <w:rFonts w:hint="eastAsia" w:ascii="Calibri" w:hAnsi="Calibri" w:eastAsia="宋体" w:cs="Times New Roman"/>
          <w:bCs/>
          <w:highlight w:val="none"/>
        </w:rPr>
        <w:t>率先投资高质量的自制综艺和自制电视剧，这使得产品差异化发挥到极致。</w:t>
      </w:r>
    </w:p>
    <w:p w14:paraId="4274A2D5">
      <w:pPr>
        <w:numPr>
          <w:ilvl w:val="0"/>
          <w:numId w:val="19"/>
        </w:numPr>
        <w:rPr>
          <w:rFonts w:ascii="Calibri" w:hAnsi="Calibri" w:eastAsia="宋体" w:cs="Times New Roman"/>
          <w:bCs/>
          <w:highlight w:val="none"/>
        </w:rPr>
      </w:pPr>
      <w:r>
        <w:rPr>
          <w:rFonts w:hint="eastAsia" w:ascii="Calibri" w:hAnsi="Calibri" w:eastAsia="宋体" w:cs="Times New Roman"/>
          <w:bCs/>
          <w:highlight w:val="none"/>
        </w:rPr>
        <w:t>服务差异化——社交</w:t>
      </w:r>
      <w:r>
        <w:rPr>
          <w:rFonts w:ascii="Calibri" w:hAnsi="Calibri" w:eastAsia="宋体" w:cs="Times New Roman"/>
          <w:bCs/>
          <w:highlight w:val="none"/>
        </w:rPr>
        <w:t>+</w:t>
      </w:r>
      <w:r>
        <w:rPr>
          <w:rFonts w:hint="eastAsia" w:ascii="Calibri" w:hAnsi="Calibri" w:eastAsia="宋体" w:cs="Times New Roman"/>
          <w:bCs/>
          <w:highlight w:val="none"/>
        </w:rPr>
        <w:t>移动入口</w:t>
      </w:r>
    </w:p>
    <w:p w14:paraId="4AB7F540">
      <w:pPr>
        <w:numPr>
          <w:ilvl w:val="1"/>
          <w:numId w:val="19"/>
        </w:numPr>
        <w:rPr>
          <w:rFonts w:ascii="Calibri" w:hAnsi="Calibri" w:eastAsia="宋体" w:cs="Times New Roman"/>
          <w:bCs/>
          <w:highlight w:val="none"/>
        </w:rPr>
      </w:pPr>
      <w:r>
        <w:rPr>
          <w:rFonts w:hint="eastAsia" w:ascii="Calibri" w:hAnsi="Calibri" w:eastAsia="宋体" w:cs="Times New Roman"/>
          <w:bCs/>
          <w:highlight w:val="none"/>
        </w:rPr>
        <w:t>爱奇艺为用户提供异样的社交服务——泡泡。通过整合用户需求，推进明星、内容与用户互动模式的创新，打造线上</w:t>
      </w:r>
      <w:r>
        <w:rPr>
          <w:rFonts w:ascii="Calibri" w:hAnsi="Calibri" w:eastAsia="宋体" w:cs="Times New Roman"/>
          <w:bCs/>
          <w:highlight w:val="none"/>
        </w:rPr>
        <w:t>+</w:t>
      </w:r>
      <w:r>
        <w:rPr>
          <w:rFonts w:hint="eastAsia" w:ascii="Calibri" w:hAnsi="Calibri" w:eastAsia="宋体" w:cs="Times New Roman"/>
          <w:bCs/>
          <w:highlight w:val="none"/>
        </w:rPr>
        <w:t>线下的互动模式，提供给用户差异化服务；</w:t>
      </w:r>
    </w:p>
    <w:p w14:paraId="3C7F7160">
      <w:pPr>
        <w:numPr>
          <w:ilvl w:val="1"/>
          <w:numId w:val="19"/>
        </w:numPr>
        <w:rPr>
          <w:rFonts w:ascii="Calibri" w:hAnsi="Calibri" w:eastAsia="宋体" w:cs="Times New Roman"/>
          <w:bCs/>
          <w:highlight w:val="none"/>
        </w:rPr>
      </w:pPr>
      <w:r>
        <w:rPr>
          <w:rFonts w:hint="eastAsia" w:ascii="Calibri" w:hAnsi="Calibri" w:eastAsia="宋体" w:cs="Times New Roman"/>
          <w:bCs/>
          <w:highlight w:val="none"/>
        </w:rPr>
        <w:t>爱奇艺为提供“一站式娱乐生活服务平台”的移动入口。更多强调“娱乐入口”的概念既不同于淘宝、天猫、京东等电商的模式，也不同于</w:t>
      </w:r>
      <w:r>
        <w:rPr>
          <w:rFonts w:ascii="Calibri" w:hAnsi="Calibri" w:eastAsia="宋体" w:cs="Times New Roman"/>
          <w:bCs/>
          <w:highlight w:val="none"/>
        </w:rPr>
        <w:t>58</w:t>
      </w:r>
      <w:r>
        <w:rPr>
          <w:rFonts w:hint="eastAsia" w:ascii="Calibri" w:hAnsi="Calibri" w:eastAsia="宋体" w:cs="Times New Roman"/>
          <w:bCs/>
          <w:highlight w:val="none"/>
        </w:rPr>
        <w:t>服务类平台的性质，而是更朝着泛娱乐的方向深入挖掘。这是其他视频目前无法提供的。</w:t>
      </w:r>
    </w:p>
    <w:p w14:paraId="7357EB0B">
      <w:pPr>
        <w:numPr>
          <w:ilvl w:val="0"/>
          <w:numId w:val="19"/>
        </w:numPr>
        <w:rPr>
          <w:rFonts w:ascii="Calibri" w:hAnsi="Calibri" w:eastAsia="宋体" w:cs="Times New Roman"/>
          <w:bCs/>
          <w:highlight w:val="none"/>
        </w:rPr>
      </w:pPr>
      <w:r>
        <w:rPr>
          <w:rFonts w:hint="eastAsia" w:ascii="Calibri" w:hAnsi="Calibri" w:eastAsia="宋体" w:cs="Times New Roman"/>
          <w:bCs/>
          <w:highlight w:val="none"/>
        </w:rPr>
        <w:t>形象差异化——轻奢新主义。“轻奢新主义”是爱奇艺倡导的基于市场细分的品牌营销策略。爱奇艺首先定位的受众是年轻人，界面非常年轻化，以富有生命力的绿为主，这一形象更受年轻人的喜爱，同时与其他视频网站很好的区分开来。</w:t>
      </w:r>
    </w:p>
    <w:p w14:paraId="12C37A3C">
      <w:pPr>
        <w:numPr>
          <w:ilvl w:val="0"/>
          <w:numId w:val="19"/>
        </w:numPr>
        <w:rPr>
          <w:rFonts w:ascii="Calibri" w:hAnsi="Calibri" w:eastAsia="宋体" w:cs="Times New Roman"/>
          <w:bCs/>
          <w:highlight w:val="none"/>
        </w:rPr>
      </w:pPr>
      <w:r>
        <w:rPr>
          <w:rFonts w:hint="eastAsia" w:ascii="Calibri" w:hAnsi="Calibri" w:eastAsia="宋体" w:cs="Times New Roman"/>
          <w:bCs/>
          <w:highlight w:val="none"/>
        </w:rPr>
        <w:t>营销差异化。爱奇艺的营销是基于内容的营销，无论视频还是广告，内容为王是灵魂所在。爱奇艺基于百度强大的搜索功能而对用户提供不同的广告，通过广告技术的不断创新，为广告主和用户提供双赢的结果。</w:t>
      </w:r>
    </w:p>
    <w:p w14:paraId="12B44A9A">
      <w:pPr>
        <w:ind w:firstLine="420" w:firstLineChars="200"/>
        <w:rPr>
          <w:rFonts w:ascii="Calibri" w:hAnsi="Calibri" w:eastAsia="宋体" w:cs="Times New Roman"/>
          <w:bCs/>
          <w:highlight w:val="none"/>
        </w:rPr>
      </w:pPr>
    </w:p>
    <w:p w14:paraId="5F269746">
      <w:pPr>
        <w:ind w:firstLine="420" w:firstLineChars="200"/>
        <w:rPr>
          <w:rFonts w:ascii="Calibri" w:hAnsi="Calibri" w:eastAsia="宋体" w:cs="Times New Roman"/>
          <w:bCs/>
          <w:highlight w:val="none"/>
        </w:rPr>
      </w:pPr>
      <w:r>
        <w:rPr>
          <w:rFonts w:ascii="Calibri" w:hAnsi="Calibri" w:eastAsia="宋体" w:cs="Times New Roman"/>
          <w:bCs/>
          <w:highlight w:val="none"/>
        </w:rPr>
        <w:t>2</w:t>
      </w:r>
      <w:r>
        <w:rPr>
          <w:rFonts w:hint="eastAsia" w:ascii="Calibri" w:hAnsi="Calibri" w:eastAsia="宋体" w:cs="Times New Roman"/>
          <w:bCs/>
          <w:highlight w:val="none"/>
        </w:rPr>
        <w:t>、差异化战略的风险是什么？</w:t>
      </w:r>
    </w:p>
    <w:p w14:paraId="776A5340">
      <w:pPr>
        <w:ind w:firstLine="420" w:firstLineChars="200"/>
        <w:rPr>
          <w:rFonts w:ascii="Calibri" w:hAnsi="Calibri" w:eastAsia="宋体" w:cs="Times New Roman"/>
          <w:bCs/>
          <w:highlight w:val="none"/>
        </w:rPr>
      </w:pPr>
      <w:r>
        <w:rPr>
          <w:rFonts w:hint="eastAsia" w:ascii="Calibri" w:hAnsi="Calibri" w:eastAsia="宋体" w:cs="Times New Roman"/>
          <w:bCs/>
          <w:highlight w:val="none"/>
        </w:rPr>
        <w:t>答案可能包括：</w:t>
      </w:r>
    </w:p>
    <w:p w14:paraId="59A21B3F">
      <w:pPr>
        <w:numPr>
          <w:ilvl w:val="0"/>
          <w:numId w:val="20"/>
        </w:numPr>
        <w:rPr>
          <w:rFonts w:ascii="Calibri" w:hAnsi="Calibri" w:eastAsia="宋体" w:cs="Times New Roman"/>
          <w:bCs/>
          <w:highlight w:val="none"/>
        </w:rPr>
      </w:pPr>
      <w:r>
        <w:rPr>
          <w:rFonts w:hint="eastAsia" w:ascii="Calibri" w:hAnsi="Calibri" w:eastAsia="宋体" w:cs="Times New Roman"/>
          <w:bCs/>
          <w:highlight w:val="none"/>
        </w:rPr>
        <w:t>实行低成本的竞争对手与实施差异化的公司之间的成本差别过大，以至于差异化不能再吸引顾客；</w:t>
      </w:r>
    </w:p>
    <w:p w14:paraId="09B14BD9">
      <w:pPr>
        <w:numPr>
          <w:ilvl w:val="0"/>
          <w:numId w:val="20"/>
        </w:numPr>
        <w:rPr>
          <w:rFonts w:ascii="Calibri" w:hAnsi="Calibri" w:eastAsia="宋体" w:cs="Times New Roman"/>
          <w:bCs/>
          <w:highlight w:val="none"/>
        </w:rPr>
      </w:pPr>
      <w:r>
        <w:rPr>
          <w:rFonts w:hint="eastAsia" w:ascii="Calibri" w:hAnsi="Calibri" w:eastAsia="宋体" w:cs="Times New Roman"/>
          <w:bCs/>
          <w:highlight w:val="none"/>
        </w:rPr>
        <w:t>消费者需要的差别化程度降低；</w:t>
      </w:r>
    </w:p>
    <w:p w14:paraId="4835BA84">
      <w:pPr>
        <w:numPr>
          <w:ilvl w:val="0"/>
          <w:numId w:val="20"/>
        </w:numPr>
        <w:rPr>
          <w:rFonts w:ascii="Calibri" w:hAnsi="Calibri" w:eastAsia="宋体" w:cs="Times New Roman"/>
          <w:bCs/>
          <w:highlight w:val="none"/>
        </w:rPr>
      </w:pPr>
      <w:r>
        <w:rPr>
          <w:rFonts w:hint="eastAsia" w:ascii="Calibri" w:hAnsi="Calibri" w:eastAsia="宋体" w:cs="Times New Roman"/>
          <w:bCs/>
          <w:highlight w:val="none"/>
        </w:rPr>
        <w:t>竞争对手推出差异化程度更大的产品，或推出类似的产品；</w:t>
      </w:r>
    </w:p>
    <w:p w14:paraId="5764DEA5">
      <w:pPr>
        <w:numPr>
          <w:ilvl w:val="0"/>
          <w:numId w:val="20"/>
        </w:numPr>
        <w:rPr>
          <w:rFonts w:ascii="Calibri" w:hAnsi="Calibri" w:eastAsia="宋体" w:cs="Times New Roman"/>
          <w:bCs/>
          <w:highlight w:val="none"/>
        </w:rPr>
      </w:pPr>
      <w:r>
        <w:rPr>
          <w:rFonts w:hint="eastAsia" w:ascii="Calibri" w:hAnsi="Calibri" w:eastAsia="宋体" w:cs="Times New Roman"/>
          <w:bCs/>
          <w:highlight w:val="none"/>
        </w:rPr>
        <w:t>顾客对差异化不敏感。</w:t>
      </w:r>
    </w:p>
    <w:p w14:paraId="4BA21C18">
      <w:pPr>
        <w:ind w:firstLine="420" w:firstLineChars="200"/>
        <w:rPr>
          <w:rFonts w:ascii="Calibri" w:hAnsi="Calibri" w:eastAsia="宋体" w:cs="Times New Roman"/>
          <w:bCs/>
          <w:highlight w:val="none"/>
        </w:rPr>
      </w:pPr>
    </w:p>
    <w:p w14:paraId="738E603E">
      <w:pPr>
        <w:ind w:firstLine="420" w:firstLineChars="200"/>
        <w:rPr>
          <w:rFonts w:ascii="Calibri" w:hAnsi="Calibri" w:eastAsia="宋体" w:cs="Times New Roman"/>
          <w:bCs/>
          <w:highlight w:val="none"/>
        </w:rPr>
      </w:pPr>
      <w:r>
        <w:rPr>
          <w:rFonts w:ascii="Calibri" w:hAnsi="Calibri" w:eastAsia="宋体" w:cs="Times New Roman"/>
          <w:bCs/>
          <w:highlight w:val="none"/>
        </w:rPr>
        <w:t>3</w:t>
      </w:r>
      <w:r>
        <w:rPr>
          <w:rFonts w:hint="eastAsia" w:ascii="Calibri" w:hAnsi="Calibri" w:eastAsia="宋体" w:cs="Times New Roman"/>
          <w:bCs/>
          <w:highlight w:val="none"/>
        </w:rPr>
        <w:t>、高速发展的行业有哪些特征？结合网络视频行业的特征，评价爱奇艺采用的竞争战略。</w:t>
      </w:r>
    </w:p>
    <w:p w14:paraId="1EC685AC">
      <w:pPr>
        <w:numPr>
          <w:ilvl w:val="0"/>
          <w:numId w:val="21"/>
        </w:numPr>
        <w:rPr>
          <w:rFonts w:ascii="Calibri" w:hAnsi="Calibri" w:eastAsia="宋体" w:cs="Times New Roman"/>
          <w:bCs/>
          <w:highlight w:val="none"/>
        </w:rPr>
      </w:pPr>
      <w:r>
        <w:rPr>
          <w:rFonts w:hint="eastAsia" w:ascii="Calibri" w:hAnsi="Calibri" w:eastAsia="宋体" w:cs="Times New Roman"/>
          <w:bCs/>
          <w:highlight w:val="none"/>
        </w:rPr>
        <w:t>高速发展的行业具有以下特征</w:t>
      </w:r>
    </w:p>
    <w:p w14:paraId="7BFB01E6">
      <w:pPr>
        <w:numPr>
          <w:ilvl w:val="1"/>
          <w:numId w:val="21"/>
        </w:numPr>
        <w:rPr>
          <w:rFonts w:ascii="Calibri" w:hAnsi="Calibri" w:eastAsia="宋体" w:cs="Times New Roman"/>
          <w:bCs/>
          <w:highlight w:val="none"/>
        </w:rPr>
      </w:pPr>
      <w:r>
        <w:rPr>
          <w:rFonts w:hint="eastAsia" w:ascii="Calibri" w:hAnsi="Calibri" w:eastAsia="宋体" w:cs="Times New Roman"/>
          <w:bCs/>
          <w:highlight w:val="none"/>
        </w:rPr>
        <w:t>技术变革很快；</w:t>
      </w:r>
    </w:p>
    <w:p w14:paraId="51EA5889">
      <w:pPr>
        <w:numPr>
          <w:ilvl w:val="1"/>
          <w:numId w:val="21"/>
        </w:numPr>
        <w:rPr>
          <w:rFonts w:ascii="Calibri" w:hAnsi="Calibri" w:eastAsia="宋体" w:cs="Times New Roman"/>
          <w:bCs/>
          <w:highlight w:val="none"/>
        </w:rPr>
      </w:pPr>
      <w:r>
        <w:rPr>
          <w:rFonts w:hint="eastAsia" w:ascii="Calibri" w:hAnsi="Calibri" w:eastAsia="宋体" w:cs="Times New Roman"/>
          <w:bCs/>
          <w:highlight w:val="none"/>
        </w:rPr>
        <w:t>产品生命周期较短；</w:t>
      </w:r>
    </w:p>
    <w:p w14:paraId="092E5F5A">
      <w:pPr>
        <w:numPr>
          <w:ilvl w:val="1"/>
          <w:numId w:val="21"/>
        </w:numPr>
        <w:rPr>
          <w:rFonts w:ascii="Calibri" w:hAnsi="Calibri" w:eastAsia="宋体" w:cs="Times New Roman"/>
          <w:bCs/>
          <w:highlight w:val="none"/>
        </w:rPr>
      </w:pPr>
      <w:r>
        <w:rPr>
          <w:rFonts w:hint="eastAsia" w:ascii="Calibri" w:hAnsi="Calibri" w:eastAsia="宋体" w:cs="Times New Roman"/>
          <w:bCs/>
          <w:highlight w:val="none"/>
        </w:rPr>
        <w:t>一些重要的新竞争对手进入了该行业；</w:t>
      </w:r>
    </w:p>
    <w:p w14:paraId="2F3FA74E">
      <w:pPr>
        <w:numPr>
          <w:ilvl w:val="1"/>
          <w:numId w:val="21"/>
        </w:numPr>
        <w:rPr>
          <w:rFonts w:ascii="Calibri" w:hAnsi="Calibri" w:eastAsia="宋体" w:cs="Times New Roman"/>
          <w:bCs/>
          <w:highlight w:val="none"/>
        </w:rPr>
      </w:pPr>
      <w:r>
        <w:rPr>
          <w:rFonts w:hint="eastAsia" w:ascii="Calibri" w:hAnsi="Calibri" w:eastAsia="宋体" w:cs="Times New Roman"/>
          <w:bCs/>
          <w:highlight w:val="none"/>
        </w:rPr>
        <w:t>竞争对手经常采取新的竞争行动；</w:t>
      </w:r>
    </w:p>
    <w:p w14:paraId="05E4FE16">
      <w:pPr>
        <w:numPr>
          <w:ilvl w:val="1"/>
          <w:numId w:val="21"/>
        </w:numPr>
        <w:rPr>
          <w:rFonts w:ascii="Calibri" w:hAnsi="Calibri" w:eastAsia="宋体" w:cs="Times New Roman"/>
          <w:bCs/>
          <w:highlight w:val="none"/>
        </w:rPr>
      </w:pPr>
      <w:r>
        <w:rPr>
          <w:rFonts w:hint="eastAsia" w:ascii="Calibri" w:hAnsi="Calibri" w:eastAsia="宋体" w:cs="Times New Roman"/>
          <w:bCs/>
          <w:highlight w:val="none"/>
        </w:rPr>
        <w:t>购买者的需求和期望变化很快。</w:t>
      </w:r>
    </w:p>
    <w:p w14:paraId="7BDF8D1E">
      <w:pPr>
        <w:numPr>
          <w:ilvl w:val="0"/>
          <w:numId w:val="21"/>
        </w:numPr>
        <w:rPr>
          <w:rFonts w:ascii="Calibri" w:hAnsi="Calibri" w:eastAsia="宋体" w:cs="Times New Roman"/>
          <w:bCs/>
          <w:highlight w:val="none"/>
        </w:rPr>
      </w:pPr>
      <w:r>
        <w:rPr>
          <w:rFonts w:hint="eastAsia" w:ascii="Calibri" w:hAnsi="Calibri" w:eastAsia="宋体" w:cs="Times New Roman"/>
          <w:bCs/>
          <w:highlight w:val="none"/>
        </w:rPr>
        <w:t>在网络视频行业中，技术变革很快，产品生命周期较短，爱奇艺的应对措施是：积极投资于研究与开发，使企业处于技术的前沿，这是其产品差异化战略的重要基础。</w:t>
      </w:r>
    </w:p>
    <w:p w14:paraId="2CF09D57">
      <w:pPr>
        <w:numPr>
          <w:ilvl w:val="0"/>
          <w:numId w:val="21"/>
        </w:numPr>
        <w:rPr>
          <w:rFonts w:ascii="Calibri" w:hAnsi="Calibri" w:eastAsia="宋体" w:cs="Times New Roman"/>
          <w:bCs/>
          <w:highlight w:val="none"/>
        </w:rPr>
      </w:pPr>
      <w:r>
        <w:rPr>
          <w:rFonts w:hint="eastAsia" w:ascii="Calibri" w:hAnsi="Calibri" w:eastAsia="宋体" w:cs="Times New Roman"/>
          <w:bCs/>
          <w:highlight w:val="none"/>
        </w:rPr>
        <w:t>爱奇艺的差异化战略给公司带来了巨大的财务收益，源于以消费者的需求为根本，对消费者进行细分和深入解读，并针对他们变化很快的需求，在产品设计和供给上作出快速反应。</w:t>
      </w:r>
    </w:p>
    <w:p w14:paraId="24926C7A">
      <w:pPr>
        <w:ind w:firstLine="480" w:firstLineChars="200"/>
        <w:rPr>
          <w:rFonts w:ascii="黑体" w:hAnsi="黑体" w:eastAsia="黑体" w:cs="Times New Roman"/>
          <w:sz w:val="24"/>
          <w:szCs w:val="24"/>
          <w:highlight w:val="none"/>
        </w:rPr>
      </w:pPr>
    </w:p>
    <w:p w14:paraId="46E9B889">
      <w:pPr>
        <w:rPr>
          <w:rFonts w:hint="eastAsia" w:ascii="Calibri" w:hAnsi="Calibri" w:eastAsia="宋体" w:cs="Times New Roman"/>
          <w:sz w:val="24"/>
          <w:szCs w:val="24"/>
          <w:highlight w:val="none"/>
        </w:rPr>
      </w:pPr>
    </w:p>
    <w:p w14:paraId="77E59013">
      <w:pPr>
        <w:rPr>
          <w:sz w:val="24"/>
          <w:szCs w:val="24"/>
          <w:highlight w:val="none"/>
        </w:rPr>
      </w:pPr>
    </w:p>
    <w:p w14:paraId="2C2E65E6">
      <w:pPr>
        <w:rPr>
          <w:highlight w:val="none"/>
        </w:rPr>
      </w:pPr>
      <w:bookmarkStart w:id="0" w:name="_GoBack"/>
      <w:bookmarkEnd w:id="0"/>
    </w:p>
    <w:sectPr>
      <w:footerReference r:id="rId3" w:type="default"/>
      <w:footerReference r:id="rId4" w:type="even"/>
      <w:pgSz w:w="11906" w:h="16838"/>
      <w:pgMar w:top="1440" w:right="1418"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223CA">
    <w:pPr>
      <w:pStyle w:val="4"/>
      <w:jc w:val="center"/>
    </w:pPr>
    <w:r>
      <w:rPr>
        <w:rFonts w:hint="eastAsia"/>
      </w:rPr>
      <w:t xml:space="preserve">第 </w:t>
    </w:r>
    <w:r>
      <w:fldChar w:fldCharType="begin"/>
    </w:r>
    <w:r>
      <w:instrText xml:space="preserve"> PAGE  \* Arabic  \* MERGEFORMAT </w:instrText>
    </w:r>
    <w:r>
      <w:fldChar w:fldCharType="separate"/>
    </w:r>
    <w:r>
      <w:t>8</w:t>
    </w:r>
    <w:r>
      <w:fldChar w:fldCharType="end"/>
    </w:r>
    <w:r>
      <w:rPr>
        <w:rFonts w:hint="eastAsia"/>
      </w:rPr>
      <w:t>页（共</w:t>
    </w:r>
    <w:r>
      <w:fldChar w:fldCharType="begin"/>
    </w:r>
    <w:r>
      <w:instrText xml:space="preserve"> NUMPAGES  \* Arabic  \* MERGEFORMAT </w:instrText>
    </w:r>
    <w:r>
      <w:fldChar w:fldCharType="separate"/>
    </w:r>
    <w:r>
      <w:t>11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5A13C">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573BBFAC">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B12BE3"/>
    <w:multiLevelType w:val="multilevel"/>
    <w:tmpl w:val="08B12BE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A2E5546"/>
    <w:multiLevelType w:val="multilevel"/>
    <w:tmpl w:val="0A2E5546"/>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0ACE4142"/>
    <w:multiLevelType w:val="multilevel"/>
    <w:tmpl w:val="0ACE4142"/>
    <w:lvl w:ilvl="0" w:tentative="0">
      <w:start w:val="1"/>
      <w:numFmt w:val="upperLetter"/>
      <w:lvlText w:val="%1．"/>
      <w:lvlJc w:val="left"/>
      <w:pPr>
        <w:ind w:left="854" w:hanging="360"/>
      </w:pPr>
      <w:rPr>
        <w:rFonts w:hint="default"/>
      </w:rPr>
    </w:lvl>
    <w:lvl w:ilvl="1" w:tentative="0">
      <w:start w:val="1"/>
      <w:numFmt w:val="lowerLetter"/>
      <w:lvlText w:val="%2)"/>
      <w:lvlJc w:val="left"/>
      <w:pPr>
        <w:ind w:left="1334" w:hanging="420"/>
      </w:pPr>
    </w:lvl>
    <w:lvl w:ilvl="2" w:tentative="0">
      <w:start w:val="1"/>
      <w:numFmt w:val="lowerRoman"/>
      <w:lvlText w:val="%3."/>
      <w:lvlJc w:val="right"/>
      <w:pPr>
        <w:ind w:left="1754" w:hanging="420"/>
      </w:pPr>
    </w:lvl>
    <w:lvl w:ilvl="3" w:tentative="0">
      <w:start w:val="1"/>
      <w:numFmt w:val="decimal"/>
      <w:lvlText w:val="%4."/>
      <w:lvlJc w:val="left"/>
      <w:pPr>
        <w:ind w:left="2174" w:hanging="420"/>
      </w:pPr>
    </w:lvl>
    <w:lvl w:ilvl="4" w:tentative="0">
      <w:start w:val="1"/>
      <w:numFmt w:val="lowerLetter"/>
      <w:lvlText w:val="%5)"/>
      <w:lvlJc w:val="left"/>
      <w:pPr>
        <w:ind w:left="2594" w:hanging="420"/>
      </w:pPr>
    </w:lvl>
    <w:lvl w:ilvl="5" w:tentative="0">
      <w:start w:val="1"/>
      <w:numFmt w:val="lowerRoman"/>
      <w:lvlText w:val="%6."/>
      <w:lvlJc w:val="right"/>
      <w:pPr>
        <w:ind w:left="3014" w:hanging="420"/>
      </w:pPr>
    </w:lvl>
    <w:lvl w:ilvl="6" w:tentative="0">
      <w:start w:val="1"/>
      <w:numFmt w:val="decimal"/>
      <w:lvlText w:val="%7."/>
      <w:lvlJc w:val="left"/>
      <w:pPr>
        <w:ind w:left="3434" w:hanging="420"/>
      </w:pPr>
    </w:lvl>
    <w:lvl w:ilvl="7" w:tentative="0">
      <w:start w:val="1"/>
      <w:numFmt w:val="lowerLetter"/>
      <w:lvlText w:val="%8)"/>
      <w:lvlJc w:val="left"/>
      <w:pPr>
        <w:ind w:left="3854" w:hanging="420"/>
      </w:pPr>
    </w:lvl>
    <w:lvl w:ilvl="8" w:tentative="0">
      <w:start w:val="1"/>
      <w:numFmt w:val="lowerRoman"/>
      <w:lvlText w:val="%9."/>
      <w:lvlJc w:val="right"/>
      <w:pPr>
        <w:ind w:left="4274" w:hanging="420"/>
      </w:pPr>
    </w:lvl>
  </w:abstractNum>
  <w:abstractNum w:abstractNumId="3">
    <w:nsid w:val="18C8563D"/>
    <w:multiLevelType w:val="multilevel"/>
    <w:tmpl w:val="18C8563D"/>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
    <w:nsid w:val="1A462133"/>
    <w:multiLevelType w:val="multilevel"/>
    <w:tmpl w:val="1A462133"/>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1DA15572"/>
    <w:multiLevelType w:val="multilevel"/>
    <w:tmpl w:val="1DA15572"/>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
    <w:nsid w:val="2D507AF3"/>
    <w:multiLevelType w:val="multilevel"/>
    <w:tmpl w:val="2D507AF3"/>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0934723"/>
    <w:multiLevelType w:val="multilevel"/>
    <w:tmpl w:val="30934723"/>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8">
    <w:nsid w:val="3B02732B"/>
    <w:multiLevelType w:val="multilevel"/>
    <w:tmpl w:val="3B02732B"/>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3B043DB8"/>
    <w:multiLevelType w:val="multilevel"/>
    <w:tmpl w:val="3B043DB8"/>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0">
    <w:nsid w:val="4BA53C3C"/>
    <w:multiLevelType w:val="multilevel"/>
    <w:tmpl w:val="4BA53C3C"/>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1">
    <w:nsid w:val="4F455B88"/>
    <w:multiLevelType w:val="multilevel"/>
    <w:tmpl w:val="4F455B88"/>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12">
    <w:nsid w:val="51E16BB8"/>
    <w:multiLevelType w:val="multilevel"/>
    <w:tmpl w:val="51E16BB8"/>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35C3FCC"/>
    <w:multiLevelType w:val="multilevel"/>
    <w:tmpl w:val="535C3FCC"/>
    <w:lvl w:ilvl="0" w:tentative="0">
      <w:start w:val="19"/>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96F519E"/>
    <w:multiLevelType w:val="multilevel"/>
    <w:tmpl w:val="596F519E"/>
    <w:lvl w:ilvl="0" w:tentative="0">
      <w:start w:val="1"/>
      <w:numFmt w:val="upperLetter"/>
      <w:lvlText w:val="%1．"/>
      <w:lvlJc w:val="left"/>
      <w:pPr>
        <w:ind w:left="854" w:hanging="360"/>
      </w:pPr>
      <w:rPr>
        <w:rFonts w:hint="default"/>
      </w:rPr>
    </w:lvl>
    <w:lvl w:ilvl="1" w:tentative="0">
      <w:start w:val="1"/>
      <w:numFmt w:val="lowerLetter"/>
      <w:lvlText w:val="%2)"/>
      <w:lvlJc w:val="left"/>
      <w:pPr>
        <w:ind w:left="1334" w:hanging="420"/>
      </w:pPr>
    </w:lvl>
    <w:lvl w:ilvl="2" w:tentative="0">
      <w:start w:val="1"/>
      <w:numFmt w:val="lowerRoman"/>
      <w:lvlText w:val="%3."/>
      <w:lvlJc w:val="right"/>
      <w:pPr>
        <w:ind w:left="1754" w:hanging="420"/>
      </w:pPr>
    </w:lvl>
    <w:lvl w:ilvl="3" w:tentative="0">
      <w:start w:val="1"/>
      <w:numFmt w:val="decimal"/>
      <w:lvlText w:val="%4."/>
      <w:lvlJc w:val="left"/>
      <w:pPr>
        <w:ind w:left="2174" w:hanging="420"/>
      </w:pPr>
    </w:lvl>
    <w:lvl w:ilvl="4" w:tentative="0">
      <w:start w:val="1"/>
      <w:numFmt w:val="lowerLetter"/>
      <w:lvlText w:val="%5)"/>
      <w:lvlJc w:val="left"/>
      <w:pPr>
        <w:ind w:left="2594" w:hanging="420"/>
      </w:pPr>
    </w:lvl>
    <w:lvl w:ilvl="5" w:tentative="0">
      <w:start w:val="1"/>
      <w:numFmt w:val="lowerRoman"/>
      <w:lvlText w:val="%6."/>
      <w:lvlJc w:val="right"/>
      <w:pPr>
        <w:ind w:left="3014" w:hanging="420"/>
      </w:pPr>
    </w:lvl>
    <w:lvl w:ilvl="6" w:tentative="0">
      <w:start w:val="1"/>
      <w:numFmt w:val="decimal"/>
      <w:lvlText w:val="%7."/>
      <w:lvlJc w:val="left"/>
      <w:pPr>
        <w:ind w:left="3434" w:hanging="420"/>
      </w:pPr>
    </w:lvl>
    <w:lvl w:ilvl="7" w:tentative="0">
      <w:start w:val="1"/>
      <w:numFmt w:val="lowerLetter"/>
      <w:lvlText w:val="%8)"/>
      <w:lvlJc w:val="left"/>
      <w:pPr>
        <w:ind w:left="3854" w:hanging="420"/>
      </w:pPr>
    </w:lvl>
    <w:lvl w:ilvl="8" w:tentative="0">
      <w:start w:val="1"/>
      <w:numFmt w:val="lowerRoman"/>
      <w:lvlText w:val="%9."/>
      <w:lvlJc w:val="right"/>
      <w:pPr>
        <w:ind w:left="4274" w:hanging="420"/>
      </w:pPr>
    </w:lvl>
  </w:abstractNum>
  <w:abstractNum w:abstractNumId="15">
    <w:nsid w:val="5F7C5D3A"/>
    <w:multiLevelType w:val="multilevel"/>
    <w:tmpl w:val="5F7C5D3A"/>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6">
    <w:nsid w:val="65BD3D5C"/>
    <w:multiLevelType w:val="multilevel"/>
    <w:tmpl w:val="65BD3D5C"/>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7">
    <w:nsid w:val="6A74279D"/>
    <w:multiLevelType w:val="multilevel"/>
    <w:tmpl w:val="6A74279D"/>
    <w:lvl w:ilvl="0" w:tentative="0">
      <w:start w:val="1"/>
      <w:numFmt w:val="upperLetter"/>
      <w:lvlText w:val="%1．"/>
      <w:lvlJc w:val="left"/>
      <w:pPr>
        <w:ind w:left="854" w:hanging="360"/>
      </w:pPr>
      <w:rPr>
        <w:rFonts w:hint="default"/>
      </w:rPr>
    </w:lvl>
    <w:lvl w:ilvl="1" w:tentative="0">
      <w:start w:val="1"/>
      <w:numFmt w:val="lowerLetter"/>
      <w:lvlText w:val="%2)"/>
      <w:lvlJc w:val="left"/>
      <w:pPr>
        <w:ind w:left="1334" w:hanging="420"/>
      </w:pPr>
    </w:lvl>
    <w:lvl w:ilvl="2" w:tentative="0">
      <w:start w:val="1"/>
      <w:numFmt w:val="lowerRoman"/>
      <w:lvlText w:val="%3."/>
      <w:lvlJc w:val="right"/>
      <w:pPr>
        <w:ind w:left="1754" w:hanging="420"/>
      </w:pPr>
    </w:lvl>
    <w:lvl w:ilvl="3" w:tentative="0">
      <w:start w:val="1"/>
      <w:numFmt w:val="decimal"/>
      <w:lvlText w:val="%4."/>
      <w:lvlJc w:val="left"/>
      <w:pPr>
        <w:ind w:left="2174" w:hanging="420"/>
      </w:pPr>
    </w:lvl>
    <w:lvl w:ilvl="4" w:tentative="0">
      <w:start w:val="1"/>
      <w:numFmt w:val="lowerLetter"/>
      <w:lvlText w:val="%5)"/>
      <w:lvlJc w:val="left"/>
      <w:pPr>
        <w:ind w:left="2594" w:hanging="420"/>
      </w:pPr>
    </w:lvl>
    <w:lvl w:ilvl="5" w:tentative="0">
      <w:start w:val="1"/>
      <w:numFmt w:val="lowerRoman"/>
      <w:lvlText w:val="%6."/>
      <w:lvlJc w:val="right"/>
      <w:pPr>
        <w:ind w:left="3014" w:hanging="420"/>
      </w:pPr>
    </w:lvl>
    <w:lvl w:ilvl="6" w:tentative="0">
      <w:start w:val="1"/>
      <w:numFmt w:val="decimal"/>
      <w:lvlText w:val="%7."/>
      <w:lvlJc w:val="left"/>
      <w:pPr>
        <w:ind w:left="3434" w:hanging="420"/>
      </w:pPr>
    </w:lvl>
    <w:lvl w:ilvl="7" w:tentative="0">
      <w:start w:val="1"/>
      <w:numFmt w:val="lowerLetter"/>
      <w:lvlText w:val="%8)"/>
      <w:lvlJc w:val="left"/>
      <w:pPr>
        <w:ind w:left="3854" w:hanging="420"/>
      </w:pPr>
    </w:lvl>
    <w:lvl w:ilvl="8" w:tentative="0">
      <w:start w:val="1"/>
      <w:numFmt w:val="lowerRoman"/>
      <w:lvlText w:val="%9."/>
      <w:lvlJc w:val="right"/>
      <w:pPr>
        <w:ind w:left="4274" w:hanging="420"/>
      </w:pPr>
    </w:lvl>
  </w:abstractNum>
  <w:abstractNum w:abstractNumId="18">
    <w:nsid w:val="70455199"/>
    <w:multiLevelType w:val="multilevel"/>
    <w:tmpl w:val="70455199"/>
    <w:lvl w:ilvl="0" w:tentative="0">
      <w:start w:val="1"/>
      <w:numFmt w:val="upperLetter"/>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9">
    <w:nsid w:val="730E2159"/>
    <w:multiLevelType w:val="multilevel"/>
    <w:tmpl w:val="730E2159"/>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0">
    <w:nsid w:val="735C5D75"/>
    <w:multiLevelType w:val="multilevel"/>
    <w:tmpl w:val="735C5D75"/>
    <w:lvl w:ilvl="0" w:tentative="0">
      <w:start w:val="1"/>
      <w:numFmt w:val="upperLetter"/>
      <w:lvlText w:val="%1．"/>
      <w:lvlJc w:val="left"/>
      <w:pPr>
        <w:ind w:left="854" w:hanging="360"/>
      </w:pPr>
      <w:rPr>
        <w:rFonts w:hint="default"/>
      </w:rPr>
    </w:lvl>
    <w:lvl w:ilvl="1" w:tentative="0">
      <w:start w:val="1"/>
      <w:numFmt w:val="lowerLetter"/>
      <w:lvlText w:val="%2)"/>
      <w:lvlJc w:val="left"/>
      <w:pPr>
        <w:ind w:left="1334" w:hanging="420"/>
      </w:pPr>
    </w:lvl>
    <w:lvl w:ilvl="2" w:tentative="0">
      <w:start w:val="1"/>
      <w:numFmt w:val="lowerRoman"/>
      <w:lvlText w:val="%3."/>
      <w:lvlJc w:val="right"/>
      <w:pPr>
        <w:ind w:left="1754" w:hanging="420"/>
      </w:pPr>
    </w:lvl>
    <w:lvl w:ilvl="3" w:tentative="0">
      <w:start w:val="1"/>
      <w:numFmt w:val="decimal"/>
      <w:lvlText w:val="%4."/>
      <w:lvlJc w:val="left"/>
      <w:pPr>
        <w:ind w:left="2174" w:hanging="420"/>
      </w:pPr>
    </w:lvl>
    <w:lvl w:ilvl="4" w:tentative="0">
      <w:start w:val="1"/>
      <w:numFmt w:val="lowerLetter"/>
      <w:lvlText w:val="%5)"/>
      <w:lvlJc w:val="left"/>
      <w:pPr>
        <w:ind w:left="2594" w:hanging="420"/>
      </w:pPr>
    </w:lvl>
    <w:lvl w:ilvl="5" w:tentative="0">
      <w:start w:val="1"/>
      <w:numFmt w:val="lowerRoman"/>
      <w:lvlText w:val="%6."/>
      <w:lvlJc w:val="right"/>
      <w:pPr>
        <w:ind w:left="3014" w:hanging="420"/>
      </w:pPr>
    </w:lvl>
    <w:lvl w:ilvl="6" w:tentative="0">
      <w:start w:val="1"/>
      <w:numFmt w:val="decimal"/>
      <w:lvlText w:val="%7."/>
      <w:lvlJc w:val="left"/>
      <w:pPr>
        <w:ind w:left="3434" w:hanging="420"/>
      </w:pPr>
    </w:lvl>
    <w:lvl w:ilvl="7" w:tentative="0">
      <w:start w:val="1"/>
      <w:numFmt w:val="lowerLetter"/>
      <w:lvlText w:val="%8)"/>
      <w:lvlJc w:val="left"/>
      <w:pPr>
        <w:ind w:left="3854" w:hanging="420"/>
      </w:pPr>
    </w:lvl>
    <w:lvl w:ilvl="8" w:tentative="0">
      <w:start w:val="1"/>
      <w:numFmt w:val="lowerRoman"/>
      <w:lvlText w:val="%9."/>
      <w:lvlJc w:val="right"/>
      <w:pPr>
        <w:ind w:left="4274" w:hanging="420"/>
      </w:pPr>
    </w:lvl>
  </w:abstractNum>
  <w:num w:numId="1">
    <w:abstractNumId w:val="12"/>
  </w:num>
  <w:num w:numId="2">
    <w:abstractNumId w:val="11"/>
  </w:num>
  <w:num w:numId="3">
    <w:abstractNumId w:val="2"/>
  </w:num>
  <w:num w:numId="4">
    <w:abstractNumId w:val="17"/>
  </w:num>
  <w:num w:numId="5">
    <w:abstractNumId w:val="14"/>
  </w:num>
  <w:num w:numId="6">
    <w:abstractNumId w:val="20"/>
  </w:num>
  <w:num w:numId="7">
    <w:abstractNumId w:val="18"/>
  </w:num>
  <w:num w:numId="8">
    <w:abstractNumId w:val="13"/>
  </w:num>
  <w:num w:numId="9">
    <w:abstractNumId w:val="8"/>
  </w:num>
  <w:num w:numId="10">
    <w:abstractNumId w:val="0"/>
  </w:num>
  <w:num w:numId="11">
    <w:abstractNumId w:val="6"/>
  </w:num>
  <w:num w:numId="12">
    <w:abstractNumId w:val="1"/>
  </w:num>
  <w:num w:numId="13">
    <w:abstractNumId w:val="19"/>
  </w:num>
  <w:num w:numId="14">
    <w:abstractNumId w:val="7"/>
  </w:num>
  <w:num w:numId="15">
    <w:abstractNumId w:val="10"/>
  </w:num>
  <w:num w:numId="16">
    <w:abstractNumId w:val="3"/>
  </w:num>
  <w:num w:numId="17">
    <w:abstractNumId w:val="9"/>
  </w:num>
  <w:num w:numId="18">
    <w:abstractNumId w:val="5"/>
  </w:num>
  <w:num w:numId="19">
    <w:abstractNumId w:val="15"/>
  </w:num>
  <w:num w:numId="20">
    <w:abstractNumId w:val="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45AE4"/>
    <w:rsid w:val="00070163"/>
    <w:rsid w:val="000C0AEF"/>
    <w:rsid w:val="000F759C"/>
    <w:rsid w:val="00104AFF"/>
    <w:rsid w:val="00182FBA"/>
    <w:rsid w:val="001C7DDD"/>
    <w:rsid w:val="002832FB"/>
    <w:rsid w:val="002C6891"/>
    <w:rsid w:val="003665AB"/>
    <w:rsid w:val="00392EE2"/>
    <w:rsid w:val="003B3EFE"/>
    <w:rsid w:val="003E6627"/>
    <w:rsid w:val="0040150C"/>
    <w:rsid w:val="00445AE4"/>
    <w:rsid w:val="004A2FDB"/>
    <w:rsid w:val="0053182C"/>
    <w:rsid w:val="00541548"/>
    <w:rsid w:val="00583FEF"/>
    <w:rsid w:val="005F3EF6"/>
    <w:rsid w:val="00605F14"/>
    <w:rsid w:val="006416BC"/>
    <w:rsid w:val="0074126A"/>
    <w:rsid w:val="00880A31"/>
    <w:rsid w:val="008B099F"/>
    <w:rsid w:val="008E16B3"/>
    <w:rsid w:val="00923CBE"/>
    <w:rsid w:val="009413AD"/>
    <w:rsid w:val="00966AA6"/>
    <w:rsid w:val="00A72F0B"/>
    <w:rsid w:val="00B20307"/>
    <w:rsid w:val="00B51D85"/>
    <w:rsid w:val="00C218BD"/>
    <w:rsid w:val="00C91FC9"/>
    <w:rsid w:val="00CD7068"/>
    <w:rsid w:val="00D028A7"/>
    <w:rsid w:val="00E96F58"/>
    <w:rsid w:val="00F72A85"/>
    <w:rsid w:val="00F90A71"/>
    <w:rsid w:val="00FD330A"/>
    <w:rsid w:val="2F2A35DC"/>
    <w:rsid w:val="71D55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Times New Roman"/>
      <w:b/>
      <w:bCs/>
      <w:kern w:val="44"/>
      <w:sz w:val="48"/>
      <w:szCs w:val="48"/>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页眉 字符"/>
    <w:basedOn w:val="7"/>
    <w:link w:val="5"/>
    <w:qFormat/>
    <w:uiPriority w:val="99"/>
    <w:rPr>
      <w:rFonts w:ascii="Times New Roman" w:hAnsi="Times New Roman" w:eastAsia="宋体" w:cs="Times New Roman"/>
      <w:sz w:val="18"/>
      <w:szCs w:val="18"/>
    </w:rPr>
  </w:style>
  <w:style w:type="character" w:customStyle="1" w:styleId="10">
    <w:name w:val="页脚 字符"/>
    <w:basedOn w:val="7"/>
    <w:link w:val="4"/>
    <w:qFormat/>
    <w:uiPriority w:val="0"/>
    <w:rPr>
      <w:rFonts w:ascii="Times New Roman" w:hAnsi="Times New Roman" w:eastAsia="宋体" w:cs="Times New Roman"/>
      <w:sz w:val="18"/>
      <w:szCs w:val="18"/>
    </w:rPr>
  </w:style>
  <w:style w:type="paragraph" w:styleId="11">
    <w:name w:val="List Paragraph"/>
    <w:basedOn w:val="1"/>
    <w:qFormat/>
    <w:uiPriority w:val="99"/>
    <w:pPr>
      <w:ind w:firstLine="420" w:firstLineChars="200"/>
    </w:pPr>
  </w:style>
  <w:style w:type="character" w:customStyle="1" w:styleId="12">
    <w:name w:val="批注框文本 字符"/>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11364</Words>
  <Characters>11676</Characters>
  <Lines>70</Lines>
  <Paragraphs>19</Paragraphs>
  <TotalTime>5</TotalTime>
  <ScaleCrop>false</ScaleCrop>
  <LinksUpToDate>false</LinksUpToDate>
  <CharactersWithSpaces>12993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2022-02-09T13:00:00Z</dcterms:created>
  <dc:creator>thinkpad</dc:creator>
  <cp:lastModifiedBy>Casual</cp:lastModifiedBy>
  <dcterms:modified xsi:type="dcterms:W3CDTF">2024-12-24T06:35:04Z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296AF5A53A054796832B3898CBA9E7A4_12</vt:lpwstr>
  </property>
</Properties>
</file>