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keepNext w:val="0"/>
        <w:keepLines w:val="0"/>
        <w:pageBreakBefore w:val="0"/>
        <w:widowControl w:val="0"/>
        <w:tabs>
          <w:tab w:val="left" w:pos="4156"/>
        </w:tabs>
        <w:kinsoku/>
        <w:wordWrap/>
        <w:overflowPunct/>
        <w:topLinePunct w:val="0"/>
        <w:autoSpaceDE/>
        <w:autoSpaceDN/>
        <w:bidi w:val="0"/>
        <w:adjustRightInd/>
        <w:snapToGrid/>
        <w:spacing w:line="360" w:lineRule="auto"/>
        <w:ind w:left="0" w:leftChars="0" w:firstLine="0" w:firstLineChars="0"/>
        <w:contextualSpacing/>
        <w:textAlignment w:val="auto"/>
        <w:rPr>
          <w:rFonts w:hint="eastAsia" w:ascii="宋体" w:hAnsi="宋体" w:eastAsia="宋体" w:cs="宋体"/>
          <w:b/>
          <w:bCs/>
          <w:color w:val="000000"/>
          <w:sz w:val="44"/>
          <w:szCs w:val="44"/>
          <w:u w:val="none"/>
          <w:lang w:val="en-US" w:eastAsia="zh-CN"/>
        </w:rPr>
      </w:pPr>
      <w:r>
        <w:rPr>
          <w:rFonts w:hint="eastAsia"/>
          <w:b/>
          <w:bCs/>
          <w:sz w:val="44"/>
          <w:szCs w:val="44"/>
          <w:u w:val="none"/>
        </w:rPr>
        <w:t>企业</w:t>
      </w:r>
      <w:r>
        <w:rPr>
          <w:rFonts w:hint="eastAsia"/>
          <w:b/>
          <w:bCs/>
          <w:sz w:val="44"/>
          <w:szCs w:val="44"/>
          <w:u w:val="none"/>
          <w:lang w:eastAsia="zh-CN"/>
        </w:rPr>
        <w:t>战略管理</w:t>
      </w:r>
      <w:r>
        <w:rPr>
          <w:rFonts w:hint="eastAsia"/>
          <w:b/>
          <w:bCs/>
          <w:sz w:val="44"/>
          <w:szCs w:val="44"/>
          <w:u w:val="none"/>
          <w:lang w:val="en-US" w:eastAsia="zh-CN"/>
        </w:rPr>
        <w:t>复习资料</w:t>
      </w:r>
      <w:r>
        <w:rPr>
          <w:rFonts w:hint="eastAsia" w:ascii="宋体" w:hAnsi="宋体" w:cs="宋体"/>
          <w:b/>
          <w:bCs/>
          <w:color w:val="000000"/>
          <w:sz w:val="44"/>
          <w:szCs w:val="44"/>
          <w:u w:val="none"/>
          <w:lang w:val="en-US" w:eastAsia="zh-CN"/>
        </w:rPr>
        <w:t xml:space="preserve"> </w:t>
      </w:r>
      <w:r>
        <w:rPr>
          <w:rFonts w:hint="eastAsia" w:ascii="宋体" w:hAnsi="宋体" w:eastAsia="宋体" w:cs="宋体"/>
          <w:b/>
          <w:bCs/>
          <w:color w:val="000000"/>
          <w:sz w:val="44"/>
          <w:szCs w:val="44"/>
          <w:u w:val="none"/>
          <w:lang w:val="en-US" w:eastAsia="zh-CN"/>
        </w:rPr>
        <w:t xml:space="preserve">  </w:t>
      </w:r>
    </w:p>
    <w:p>
      <w:pPr>
        <w:keepNext w:val="0"/>
        <w:keepLines w:val="0"/>
        <w:pageBreakBefore w:val="0"/>
        <w:widowControl w:val="0"/>
        <w:tabs>
          <w:tab w:val="left" w:pos="4156"/>
        </w:tabs>
        <w:kinsoku/>
        <w:wordWrap/>
        <w:overflowPunct/>
        <w:topLinePunct w:val="0"/>
        <w:autoSpaceDE/>
        <w:autoSpaceDN/>
        <w:bidi w:val="0"/>
        <w:adjustRightInd/>
        <w:snapToGrid/>
        <w:spacing w:line="360" w:lineRule="auto"/>
        <w:ind w:left="0" w:leftChars="0" w:firstLine="0" w:firstLineChars="0"/>
        <w:contextualSpacing/>
        <w:textAlignment w:val="auto"/>
        <w:rPr>
          <w:rFonts w:hint="eastAsia" w:ascii="宋体" w:hAnsi="宋体" w:eastAsia="宋体" w:cs="宋体"/>
          <w:b/>
          <w:bCs/>
          <w:color w:val="000000"/>
          <w:sz w:val="24"/>
          <w:szCs w:val="24"/>
          <w:u w:val="single"/>
          <w:lang w:val="en-US" w:eastAsia="zh-CN"/>
        </w:rPr>
      </w:pPr>
    </w:p>
    <w:p>
      <w:pPr>
        <w:pStyle w:val="12"/>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82" w:hanging="482"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判断题</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10" w:firstLineChars="100"/>
        <w:textAlignment w:val="auto"/>
        <w:rPr>
          <w:rFonts w:hint="default" w:ascii="Times New Roman" w:hAnsi="Times New Roman" w:cs="Times New Roman"/>
          <w:sz w:val="21"/>
          <w:szCs w:val="21"/>
        </w:rPr>
      </w:pPr>
      <w:r>
        <w:rPr>
          <w:rFonts w:hint="eastAsia" w:cs="Times New Roman"/>
          <w:sz w:val="21"/>
          <w:szCs w:val="21"/>
          <w:lang w:val="en-US" w:eastAsia="zh-CN"/>
        </w:rPr>
        <w:t>1、</w:t>
      </w:r>
      <w:r>
        <w:rPr>
          <w:rFonts w:hint="default" w:ascii="Times New Roman" w:hAnsi="Times New Roman" w:cs="Times New Roman"/>
          <w:sz w:val="21"/>
          <w:szCs w:val="21"/>
        </w:rPr>
        <w:t xml:space="preserve">战略管理包括战略的制定、规划以及战略实施和评价。（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2、</w:t>
      </w:r>
      <w:r>
        <w:rPr>
          <w:rFonts w:hint="default" w:ascii="Times New Roman" w:hAnsi="Times New Roman" w:cs="Times New Roman"/>
          <w:sz w:val="21"/>
          <w:szCs w:val="21"/>
        </w:rPr>
        <w:t xml:space="preserve">SWOT模型是分析企业所处行业竞争状况的有效工具。（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3、</w:t>
      </w:r>
      <w:r>
        <w:rPr>
          <w:rFonts w:hint="default" w:ascii="Times New Roman" w:hAnsi="Times New Roman" w:cs="Times New Roman"/>
          <w:sz w:val="21"/>
          <w:szCs w:val="21"/>
        </w:rPr>
        <w:t xml:space="preserve">战略是管理层为了提升公司的绩效目标而采取的一整套相关联的行动。（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4、</w:t>
      </w:r>
      <w:r>
        <w:rPr>
          <w:rFonts w:hint="default" w:ascii="Times New Roman" w:hAnsi="Times New Roman" w:cs="Times New Roman"/>
          <w:sz w:val="21"/>
          <w:szCs w:val="21"/>
        </w:rPr>
        <w:t xml:space="preserve">战略服从于组织结构，企业组织结构的改变会导致企业战略的改变。（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5、</w:t>
      </w:r>
      <w:r>
        <w:rPr>
          <w:rFonts w:hint="default" w:ascii="Times New Roman" w:hAnsi="Times New Roman" w:cs="Times New Roman"/>
          <w:sz w:val="21"/>
          <w:szCs w:val="21"/>
        </w:rPr>
        <w:t xml:space="preserve">内部环境分析主要分析企业的优势和劣势，回答企业能做什么的问题。（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p>
    <w:p>
      <w:pPr>
        <w:pStyle w:val="12"/>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82" w:hanging="482"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单项选择题</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1、</w:t>
      </w:r>
      <w:r>
        <w:rPr>
          <w:rFonts w:hint="default" w:ascii="Times New Roman" w:hAnsi="Times New Roman" w:cs="Times New Roman"/>
          <w:sz w:val="21"/>
          <w:szCs w:val="21"/>
        </w:rPr>
        <w:t xml:space="preserve">对企业外部环境和内部资源进行匹配分析时，可以指导决策者使用的分析工具是（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eastAsia="zh-CN"/>
        </w:rPr>
        <w:t>。</w:t>
      </w:r>
    </w:p>
    <w:p>
      <w:pPr>
        <w:pStyle w:val="12"/>
        <w:keepNext w:val="0"/>
        <w:keepLines w:val="0"/>
        <w:pageBreakBefore w:val="0"/>
        <w:widowControl w:val="0"/>
        <w:kinsoku/>
        <w:wordWrap/>
        <w:overflowPunct/>
        <w:topLinePunct w:val="0"/>
        <w:autoSpaceDE/>
        <w:autoSpaceDN/>
        <w:bidi w:val="0"/>
        <w:adjustRightInd/>
        <w:snapToGrid/>
        <w:spacing w:line="400" w:lineRule="exact"/>
        <w:ind w:left="284" w:firstLine="210" w:firstLineChars="100"/>
        <w:textAlignment w:val="auto"/>
        <w:rPr>
          <w:rFonts w:hint="default" w:ascii="Times New Roman" w:hAnsi="Times New Roman" w:cs="Times New Roman"/>
          <w:sz w:val="21"/>
          <w:szCs w:val="21"/>
        </w:rPr>
      </w:pPr>
      <w:r>
        <w:rPr>
          <w:rFonts w:hint="default" w:ascii="Times New Roman" w:hAnsi="Times New Roman" w:cs="Times New Roman"/>
          <w:sz w:val="21"/>
          <w:szCs w:val="21"/>
        </w:rPr>
        <w:t>A.BCG矩阵      B.政策指导矩阵      C. SWOT分析法      D. EFE矩阵</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2、</w:t>
      </w:r>
      <w:r>
        <w:rPr>
          <w:rFonts w:hint="default" w:ascii="Times New Roman" w:hAnsi="Times New Roman" w:cs="Times New Roman"/>
          <w:sz w:val="21"/>
          <w:szCs w:val="21"/>
        </w:rPr>
        <w:t xml:space="preserve">企业竞争由潜在新竞争者的进入、潜在替代品的威胁、供应商议价能力、购买者议价能力、企业间竞争五种因素决定的观点的提出者是（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eastAsia="zh-CN"/>
        </w:rPr>
        <w:t>。</w:t>
      </w:r>
    </w:p>
    <w:p>
      <w:pPr>
        <w:pStyle w:val="12"/>
        <w:keepNext w:val="0"/>
        <w:keepLines w:val="0"/>
        <w:pageBreakBefore w:val="0"/>
        <w:widowControl w:val="0"/>
        <w:kinsoku/>
        <w:wordWrap/>
        <w:overflowPunct/>
        <w:topLinePunct w:val="0"/>
        <w:autoSpaceDE/>
        <w:autoSpaceDN/>
        <w:bidi w:val="0"/>
        <w:adjustRightInd/>
        <w:snapToGrid/>
        <w:spacing w:line="400" w:lineRule="exact"/>
        <w:ind w:left="284" w:firstLine="210" w:firstLineChars="100"/>
        <w:textAlignment w:val="auto"/>
        <w:rPr>
          <w:rFonts w:hint="default" w:ascii="Times New Roman" w:hAnsi="Times New Roman" w:cs="Times New Roman"/>
          <w:sz w:val="21"/>
          <w:szCs w:val="21"/>
        </w:rPr>
      </w:pPr>
      <w:r>
        <w:rPr>
          <w:rFonts w:hint="default" w:ascii="Times New Roman" w:hAnsi="Times New Roman" w:cs="Times New Roman"/>
          <w:sz w:val="21"/>
          <w:szCs w:val="21"/>
        </w:rPr>
        <w:t xml:space="preserve">A.迈克尔·波特  </w:t>
      </w:r>
      <w:r>
        <w:rPr>
          <w:rFonts w:hint="default" w:ascii="Times New Roman" w:hAnsi="Times New Roman" w:cs="Times New Roman"/>
          <w:sz w:val="21"/>
          <w:szCs w:val="21"/>
        </w:rPr>
        <w:tab/>
      </w:r>
      <w:r>
        <w:rPr>
          <w:rFonts w:hint="default" w:ascii="Times New Roman" w:hAnsi="Times New Roman" w:cs="Times New Roman"/>
          <w:sz w:val="21"/>
          <w:szCs w:val="21"/>
        </w:rPr>
        <w:t xml:space="preserve"> B.安索夫</w:t>
      </w:r>
      <w:r>
        <w:rPr>
          <w:rFonts w:hint="default" w:ascii="Times New Roman" w:hAnsi="Times New Roman" w:cs="Times New Roman"/>
          <w:sz w:val="21"/>
          <w:szCs w:val="21"/>
        </w:rPr>
        <w:tab/>
      </w:r>
      <w:r>
        <w:rPr>
          <w:rFonts w:hint="default" w:ascii="Times New Roman" w:hAnsi="Times New Roman" w:cs="Times New Roman"/>
          <w:sz w:val="21"/>
          <w:szCs w:val="21"/>
        </w:rPr>
        <w:t xml:space="preserve">     </w:t>
      </w:r>
      <w:r>
        <w:rPr>
          <w:rFonts w:hint="eastAsia" w:cs="Times New Roman"/>
          <w:sz w:val="21"/>
          <w:szCs w:val="21"/>
          <w:lang w:val="en-US" w:eastAsia="zh-CN"/>
        </w:rPr>
        <w:t xml:space="preserve"> </w:t>
      </w:r>
      <w:r>
        <w:rPr>
          <w:rFonts w:hint="default" w:ascii="Times New Roman" w:hAnsi="Times New Roman" w:cs="Times New Roman"/>
          <w:sz w:val="21"/>
          <w:szCs w:val="21"/>
        </w:rPr>
        <w:t>C.明茨伯格</w:t>
      </w:r>
      <w:r>
        <w:rPr>
          <w:rFonts w:hint="default" w:ascii="Times New Roman" w:hAnsi="Times New Roman" w:cs="Times New Roman"/>
          <w:sz w:val="21"/>
          <w:szCs w:val="21"/>
        </w:rPr>
        <w:tab/>
      </w:r>
      <w:r>
        <w:rPr>
          <w:rFonts w:hint="default" w:ascii="Times New Roman" w:hAnsi="Times New Roman" w:cs="Times New Roman"/>
          <w:sz w:val="21"/>
          <w:szCs w:val="21"/>
        </w:rPr>
        <w:t xml:space="preserve">       D.加里·哈梅尔</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3、</w:t>
      </w:r>
      <w:r>
        <w:rPr>
          <w:rFonts w:hint="default" w:ascii="Times New Roman" w:hAnsi="Times New Roman" w:cs="Times New Roman"/>
          <w:sz w:val="21"/>
          <w:szCs w:val="21"/>
        </w:rPr>
        <w:t xml:space="preserve">表述企业的根本性质和存在理由，体现企业的宗旨、哲学、信念、原则的是（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eastAsia="zh-CN"/>
        </w:rPr>
        <w:t>。</w:t>
      </w:r>
    </w:p>
    <w:p>
      <w:pPr>
        <w:pStyle w:val="12"/>
        <w:keepNext w:val="0"/>
        <w:keepLines w:val="0"/>
        <w:pageBreakBefore w:val="0"/>
        <w:widowControl w:val="0"/>
        <w:kinsoku/>
        <w:wordWrap/>
        <w:overflowPunct/>
        <w:topLinePunct w:val="0"/>
        <w:autoSpaceDE/>
        <w:autoSpaceDN/>
        <w:bidi w:val="0"/>
        <w:adjustRightInd/>
        <w:snapToGrid/>
        <w:spacing w:line="400" w:lineRule="exact"/>
        <w:ind w:left="284" w:firstLine="210" w:firstLineChars="100"/>
        <w:textAlignment w:val="auto"/>
        <w:rPr>
          <w:rFonts w:hint="default" w:ascii="Times New Roman" w:hAnsi="Times New Roman" w:cs="Times New Roman"/>
          <w:sz w:val="21"/>
          <w:szCs w:val="21"/>
        </w:rPr>
      </w:pPr>
      <w:r>
        <w:rPr>
          <w:rFonts w:hint="default" w:ascii="Times New Roman" w:hAnsi="Times New Roman" w:cs="Times New Roman"/>
          <w:sz w:val="21"/>
          <w:szCs w:val="21"/>
        </w:rPr>
        <w:t>A.企业愿景</w:t>
      </w:r>
      <w:r>
        <w:rPr>
          <w:rFonts w:hint="default" w:ascii="Times New Roman" w:hAnsi="Times New Roman" w:cs="Times New Roman"/>
          <w:sz w:val="21"/>
          <w:szCs w:val="21"/>
        </w:rPr>
        <w:tab/>
      </w:r>
      <w:r>
        <w:rPr>
          <w:rFonts w:hint="default" w:ascii="Times New Roman" w:hAnsi="Times New Roman" w:cs="Times New Roman"/>
          <w:sz w:val="21"/>
          <w:szCs w:val="21"/>
        </w:rPr>
        <w:t xml:space="preserve">     B.企业使命 </w:t>
      </w:r>
      <w:r>
        <w:rPr>
          <w:rFonts w:hint="default" w:ascii="Times New Roman" w:hAnsi="Times New Roman" w:cs="Times New Roman"/>
          <w:sz w:val="21"/>
          <w:szCs w:val="21"/>
        </w:rPr>
        <w:tab/>
      </w:r>
      <w:r>
        <w:rPr>
          <w:rFonts w:hint="default" w:ascii="Times New Roman" w:hAnsi="Times New Roman" w:cs="Times New Roman"/>
          <w:sz w:val="21"/>
          <w:szCs w:val="21"/>
        </w:rPr>
        <w:t xml:space="preserve">      C.企业目标</w:t>
      </w:r>
      <w:r>
        <w:rPr>
          <w:rFonts w:hint="default" w:ascii="Times New Roman" w:hAnsi="Times New Roman" w:cs="Times New Roman"/>
          <w:sz w:val="21"/>
          <w:szCs w:val="21"/>
        </w:rPr>
        <w:tab/>
      </w:r>
      <w:r>
        <w:rPr>
          <w:rFonts w:hint="default" w:ascii="Times New Roman" w:hAnsi="Times New Roman" w:cs="Times New Roman"/>
          <w:sz w:val="21"/>
          <w:szCs w:val="21"/>
        </w:rPr>
        <w:t xml:space="preserve">       D.企业战略</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4、</w:t>
      </w:r>
      <w:r>
        <w:rPr>
          <w:rFonts w:hint="default" w:ascii="Times New Roman" w:hAnsi="Times New Roman" w:cs="Times New Roman"/>
          <w:sz w:val="21"/>
          <w:szCs w:val="21"/>
        </w:rPr>
        <w:t xml:space="preserve">企业所在行业的特点及其在国民经济中的地位是企业战略的（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eastAsia="zh-CN"/>
        </w:rPr>
        <w:t>。</w:t>
      </w:r>
    </w:p>
    <w:p>
      <w:pPr>
        <w:pStyle w:val="12"/>
        <w:keepNext w:val="0"/>
        <w:keepLines w:val="0"/>
        <w:pageBreakBefore w:val="0"/>
        <w:widowControl w:val="0"/>
        <w:kinsoku/>
        <w:wordWrap/>
        <w:overflowPunct/>
        <w:topLinePunct w:val="0"/>
        <w:autoSpaceDE/>
        <w:autoSpaceDN/>
        <w:bidi w:val="0"/>
        <w:adjustRightInd/>
        <w:snapToGrid/>
        <w:spacing w:line="400" w:lineRule="exact"/>
        <w:ind w:left="284" w:firstLine="210" w:firstLineChars="100"/>
        <w:textAlignment w:val="auto"/>
        <w:rPr>
          <w:rFonts w:hint="default" w:ascii="Times New Roman" w:hAnsi="Times New Roman" w:cs="Times New Roman"/>
          <w:sz w:val="21"/>
          <w:szCs w:val="21"/>
        </w:rPr>
      </w:pPr>
      <w:r>
        <w:rPr>
          <w:rFonts w:hint="default" w:ascii="Times New Roman" w:hAnsi="Times New Roman" w:cs="Times New Roman"/>
          <w:sz w:val="21"/>
          <w:szCs w:val="21"/>
        </w:rPr>
        <w:t>A.技术环境</w:t>
      </w:r>
      <w:r>
        <w:rPr>
          <w:rFonts w:hint="default" w:ascii="Times New Roman" w:hAnsi="Times New Roman" w:cs="Times New Roman"/>
          <w:sz w:val="21"/>
          <w:szCs w:val="21"/>
        </w:rPr>
        <w:tab/>
      </w:r>
      <w:r>
        <w:rPr>
          <w:rFonts w:hint="default" w:ascii="Times New Roman" w:hAnsi="Times New Roman" w:cs="Times New Roman"/>
          <w:sz w:val="21"/>
          <w:szCs w:val="21"/>
        </w:rPr>
        <w:t xml:space="preserve">     B.经济环境 </w:t>
      </w:r>
      <w:r>
        <w:rPr>
          <w:rFonts w:hint="default" w:ascii="Times New Roman" w:hAnsi="Times New Roman" w:cs="Times New Roman"/>
          <w:sz w:val="21"/>
          <w:szCs w:val="21"/>
        </w:rPr>
        <w:tab/>
      </w:r>
      <w:r>
        <w:rPr>
          <w:rFonts w:hint="default" w:ascii="Times New Roman" w:hAnsi="Times New Roman" w:cs="Times New Roman"/>
          <w:sz w:val="21"/>
          <w:szCs w:val="21"/>
        </w:rPr>
        <w:t xml:space="preserve">      C.制度环境</w:t>
      </w:r>
      <w:r>
        <w:rPr>
          <w:rFonts w:hint="default" w:ascii="Times New Roman" w:hAnsi="Times New Roman" w:cs="Times New Roman"/>
          <w:sz w:val="21"/>
          <w:szCs w:val="21"/>
        </w:rPr>
        <w:tab/>
      </w:r>
      <w:r>
        <w:rPr>
          <w:rFonts w:hint="default" w:ascii="Times New Roman" w:hAnsi="Times New Roman" w:cs="Times New Roman"/>
          <w:sz w:val="21"/>
          <w:szCs w:val="21"/>
        </w:rPr>
        <w:t xml:space="preserve">       D.社会环境</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10" w:leftChars="0"/>
        <w:textAlignment w:val="auto"/>
        <w:rPr>
          <w:rFonts w:hint="default" w:ascii="Times New Roman" w:hAnsi="Times New Roman" w:cs="Times New Roman"/>
          <w:sz w:val="21"/>
          <w:szCs w:val="21"/>
        </w:rPr>
      </w:pPr>
      <w:r>
        <w:rPr>
          <w:rFonts w:hint="eastAsia" w:cs="Times New Roman"/>
          <w:sz w:val="21"/>
          <w:szCs w:val="21"/>
          <w:lang w:val="en-US" w:eastAsia="zh-CN"/>
        </w:rPr>
        <w:t>5、</w:t>
      </w:r>
      <w:r>
        <w:rPr>
          <w:rFonts w:hint="default" w:ascii="Times New Roman" w:hAnsi="Times New Roman" w:cs="Times New Roman"/>
          <w:sz w:val="21"/>
          <w:szCs w:val="21"/>
        </w:rPr>
        <w:t>下列选项中哪一个是无形资源（</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eastAsia="zh-CN"/>
        </w:rPr>
        <w:t>。</w:t>
      </w:r>
    </w:p>
    <w:p>
      <w:pPr>
        <w:pStyle w:val="12"/>
        <w:keepNext w:val="0"/>
        <w:keepLines w:val="0"/>
        <w:pageBreakBefore w:val="0"/>
        <w:widowControl w:val="0"/>
        <w:kinsoku/>
        <w:wordWrap/>
        <w:overflowPunct/>
        <w:topLinePunct w:val="0"/>
        <w:autoSpaceDE/>
        <w:autoSpaceDN/>
        <w:bidi w:val="0"/>
        <w:adjustRightInd/>
        <w:snapToGrid/>
        <w:spacing w:line="400" w:lineRule="exact"/>
        <w:ind w:left="284" w:firstLine="210" w:firstLineChars="100"/>
        <w:textAlignment w:val="auto"/>
        <w:rPr>
          <w:rFonts w:hint="default" w:ascii="Times New Roman" w:hAnsi="Times New Roman" w:cs="Times New Roman"/>
          <w:sz w:val="21"/>
          <w:szCs w:val="21"/>
        </w:rPr>
      </w:pPr>
      <w:r>
        <w:rPr>
          <w:rFonts w:hint="default" w:ascii="Times New Roman" w:hAnsi="Times New Roman" w:cs="Times New Roman"/>
          <w:sz w:val="21"/>
          <w:szCs w:val="21"/>
        </w:rPr>
        <w:t xml:space="preserve">A.资金         </w:t>
      </w:r>
      <w:r>
        <w:rPr>
          <w:rFonts w:hint="eastAsia" w:cs="Times New Roman"/>
          <w:sz w:val="21"/>
          <w:szCs w:val="21"/>
          <w:lang w:val="en-US" w:eastAsia="zh-CN"/>
        </w:rPr>
        <w:t xml:space="preserve"> </w:t>
      </w:r>
      <w:r>
        <w:rPr>
          <w:rFonts w:hint="default" w:ascii="Times New Roman" w:hAnsi="Times New Roman" w:cs="Times New Roman"/>
          <w:sz w:val="21"/>
          <w:szCs w:val="21"/>
        </w:rPr>
        <w:t xml:space="preserve">B.工厂设备 </w:t>
      </w:r>
      <w:r>
        <w:rPr>
          <w:rFonts w:hint="default" w:ascii="Times New Roman" w:hAnsi="Times New Roman" w:cs="Times New Roman"/>
          <w:sz w:val="21"/>
          <w:szCs w:val="21"/>
        </w:rPr>
        <w:tab/>
      </w:r>
      <w:r>
        <w:rPr>
          <w:rFonts w:hint="default" w:ascii="Times New Roman" w:hAnsi="Times New Roman" w:cs="Times New Roman"/>
          <w:sz w:val="21"/>
          <w:szCs w:val="21"/>
        </w:rPr>
        <w:t xml:space="preserve">      C.库存</w:t>
      </w:r>
      <w:r>
        <w:rPr>
          <w:rFonts w:hint="default" w:ascii="Times New Roman" w:hAnsi="Times New Roman" w:cs="Times New Roman"/>
          <w:sz w:val="21"/>
          <w:szCs w:val="21"/>
        </w:rPr>
        <w:tab/>
      </w:r>
      <w:r>
        <w:rPr>
          <w:rFonts w:hint="default" w:ascii="Times New Roman" w:hAnsi="Times New Roman" w:cs="Times New Roman"/>
          <w:sz w:val="21"/>
          <w:szCs w:val="21"/>
        </w:rPr>
        <w:t xml:space="preserve">       D.管理能力</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4"/>
          <w:szCs w:val="24"/>
        </w:rPr>
      </w:pPr>
      <w:bookmarkStart w:id="0" w:name="_GoBack"/>
      <w:bookmarkEnd w:id="0"/>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简答题</w:t>
      </w:r>
    </w:p>
    <w:p>
      <w:pPr>
        <w:pStyle w:val="12"/>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什么是一般竞争战略？波特的一般竞争战略是以什么方式划分的？</w:t>
      </w:r>
    </w:p>
    <w:p>
      <w:pPr>
        <w:pStyle w:val="12"/>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直线制组织结构的优点和缺点分别是什么？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Times New Roman" w:hAnsi="Times New Roman" w:eastAsia="黑体" w:cs="Times New Roman"/>
          <w:sz w:val="21"/>
          <w:szCs w:val="21"/>
        </w:rPr>
      </w:pPr>
      <w:r>
        <w:rPr>
          <w:rFonts w:hint="default" w:ascii="Times New Roman" w:hAnsi="Times New Roman" w:cs="Times New Roman"/>
          <w:bCs/>
          <w:sz w:val="21"/>
          <w:szCs w:val="21"/>
        </w:rPr>
        <w:t>3、企业</w:t>
      </w:r>
      <w:r>
        <w:rPr>
          <w:rFonts w:hint="default" w:ascii="Times New Roman" w:hAnsi="Times New Roman" w:cs="Times New Roman"/>
          <w:sz w:val="21"/>
          <w:szCs w:val="21"/>
        </w:rPr>
        <w:t>不相关多元化的优势有哪些？</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论述题</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对于上市公司控制权的争夺这一现象由来已久。布赖恩·伯勒所著的《门口的野蛮人》就是对华尔街历史上著名的公司争夺战的再现，讲述的是企业的管理者如何与大资本家斗志斗勇，最终掌握了公司的控制权的精彩故事。宝能系对万科的股权争夺正是这一现象的翻版。万科作为地产业的龙头，无论是其品牌信誉还是公司的实力都是屈指可数，当其股权结构暴露出弱点，被资本盯上应该是意料之中的事。在这场万科股权的争夺战中，体现的正是以万科的缔造者王石为首的公司管理层与宝能系这一资本力量的博弈，暴露的正是我国上市公司在发展过程中一贯忽视的公司治理问题。这一事件的发展给所有人一个警醒，在越来越发达的商业社会中，公司治理问题已经不容忽视。公司治理问题关系到未来商业发展的水平。</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请结合上述材料，论述公司治理的概念及股东治理模式。</w:t>
      </w:r>
    </w:p>
    <w:p>
      <w:pPr>
        <w:pStyle w:val="1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黑体" w:cs="Times New Roman"/>
          <w:sz w:val="21"/>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五、案例分析题</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全球酒店业权威媒体《HOTELS》公布的2016年全球酒店榜单中，锦江国际集团排名第五，位列中国酒店之首。自2005年首次提出产业国际化的战略目标以来，锦江从“借船出海”到“全球经营和跨国布局”，十多年的国际化之路可谓步步惊心。作为中国服务型企业，锦江集团从战略制定的“三向”原则到战略执行“三驾马车”，采取品牌国际化整合、管理属地化、人才国际化的三大组合策略不断加速国际化进程。从“借船出海”升级为全球化企业，期间纵然有无数的“步步惊心”，但锦江一直坚持以“全球布局、跨国经营”为导向，持续探索为国际化保驾护航的体制机制，并不断向纵深发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自2013年以来，国内的酒店行业已接近“红海”，如家、汉庭、7天、格林豪泰、速8、布丁和莫泰等众多品牌形成了烽火狼烟的竞争态势。2013至2015年期间，锦江酒店在国内的市场收益率增长非常缓慢。在国内竞争“红海”的威逼下，锦江不仅要面对国内同行的虎视眈眈，更要应对来自国外同行的竞争。随着我国加入世贸组织过渡期的终结和中国酒店企业市场化、规模化、网络化、国际化趋势的加速，中国酒店行业的竞争十分激烈。在这种严峻的挑战下，2010年锦江国际决定加快国际化扩张的步伐，寻找另一片“蓝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锦江集团副总裁王杰曾回忆道：“早在2005年锦江就确立了产业向国际化进军的长期目标。”在国内市场竞争激烈时，“借船出海”不失为另辟蹊径的选择。十几年来，在布满鲜花与荆棘的国际化之路上，锦江人用国际视野打造管理创新，实现了国际化的华丽转身。2010年至今，锦江集团联合美国德尔集团并购洲际酒店集团50%股权，2015年又收购喜达屋资本旗下法国卢浮集团100%股权。此外，锦江集团引入全球最先进的CRS订房系统，为创新“传统酒店业+互联网”模式奠定基础，把握互联网时代消费升级的趋势。</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早在2005年锦江集团就提出了产业国际化的战略目标。截止2016年底，锦江酒店在全球范围内拥有、管理和特许经营的酒店7000余家，客房总数超过70万间，全球酒店集团排名第5位，亚洲第1位。酒店分布于全球约62个国家和中国31个省、直辖市、自治区，会员超过1亿；业务涵盖全服务酒店（覆盖高、中、低端全系列品牌酒店）及有限服务酒店的投资营运和管理以及餐饮业的投资与经营。全球酒店行业权威媒体美国《HOTELS》杂志公布2016年度“全球酒店集团325强”的最新排名：万豪蝉联首位，中国排名最高的依旧是锦江酒店集团，名列第五位；首旅和如家合并后，升至第八位。在十年的“出海”之旅中，从“借船”出海到“全球化企业”锦江集团经历了多次的国际化行动与整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2009年，受金融危机和到期债务影响，美国州际酒店的股价被严重低估，营运已陷入困境。州际集团是美国最大的第三方独立酒店管理企业和酒店房地产投资商，在全球十三个国家管理了432家酒店。锦江国际董事长俞敏亮紧急召开董事会，决定对洲际进行股份收购，借“买”来的船“出海”。2010年4月，锦江酒店与美国房地产投资企业德尔集团共同设立的合营企业HAC与美国州际酒店与度假村集团达成协议，以约3.07亿美元的交易总价值收购州际集团，并使其成为HAC的全资拥有企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2010年12月，锦江集团又与上海中心大厦建设开发公司签订了合资协议，品牌授权管理协议和酒店管理协议。协议规定，将由洲际（中国）进行经营管理这家拥有258间豪华客房的酒店。集团建立了由星级酒店品牌“锦江酒店”，商务酒店品牌“Marvel”，以及经济型酒店品牌“锦江之星”组成的“J-Hotel”品牌组合。这个品牌组合将融入中西方文化呈现国际化标准，展现显出中国品牌所具有的东方文化的精髓。</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2011年，锦江集团的“出海”战略开始将触角伸向东南亚。随着东盟自由贸易的发展，越来越多的商业人士往来与东南亚国家之间。2011年9月2日，锦江之星与菲律宾的上好佳（国际）LIWAYWAY正式签约，通过品牌授权经营使锦江之星品牌正式落户菲律宾。2014年，锦江国际在菲律宾主要城市马尼拉设立了两家锦江之星，以此首次出现在菲律宾人民的视野。2013年，锦江之星奥迪加斯开业，共提供96个客房，毗邻Richmonde酒店，坐落在盖勒CBD和购物区附近。</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cs="Times New Roman" w:eastAsiaTheme="minorEastAsia"/>
          <w:bCs/>
          <w:sz w:val="21"/>
          <w:szCs w:val="21"/>
        </w:rPr>
      </w:pPr>
      <w:r>
        <w:rPr>
          <w:rFonts w:hint="default" w:ascii="Times New Roman" w:hAnsi="Times New Roman" w:cs="Times New Roman" w:eastAsiaTheme="minorEastAsia"/>
          <w:bCs/>
          <w:sz w:val="21"/>
          <w:szCs w:val="21"/>
        </w:rPr>
        <w:t>2012年开始，锦江酒店在国内市场的作风相对保守稳当，先后被如家和7天在规模上超越。随着国内经济型酒店竞争日趋激烈，锦江开始加速国际化进程，将重点转向颇为成熟欧洲酒店市场寻求机会。卢浮集团是欧洲第二大酒店集团，总部位于法国巴黎，于1976年成立并自2005年起由美国喜达屋资本集团持有，在全球47个国家经营超过1100家一星到五星级酒店。2012年3月，锦江国际与卢浮酒店集团在巴黎宣布双方各选取15家经济型酒店同时互相挂牌，并将各自的特色服务植入对方酒店。2015年5月锦江都城酒店管理有限公司与荷兰Postillion酒店集团正式签署合作意向书，锦江都城公司旗下酒店品牌将以品牌联盟的方式亮相荷兰。这也是继菲律宾、法国、韩国、印尼之后，锦江都城公司开拓全球化市场的第五站。</w:t>
      </w:r>
    </w:p>
    <w:p>
      <w:pPr>
        <w:keepNext w:val="0"/>
        <w:keepLines w:val="0"/>
        <w:pageBreakBefore w:val="0"/>
        <w:widowControl w:val="0"/>
        <w:kinsoku/>
        <w:wordWrap/>
        <w:overflowPunct/>
        <w:topLinePunct w:val="0"/>
        <w:autoSpaceDE/>
        <w:autoSpaceDN/>
        <w:bidi w:val="0"/>
        <w:adjustRightInd/>
        <w:snapToGrid/>
        <w:spacing w:beforeLines="50" w:line="400" w:lineRule="exact"/>
        <w:textAlignment w:val="auto"/>
        <w:rPr>
          <w:rFonts w:hint="default" w:ascii="Times New Roman" w:hAnsi="Times New Roman" w:cs="Times New Roman" w:eastAsiaTheme="minorEastAsia"/>
          <w:b/>
          <w:bCs/>
          <w:sz w:val="24"/>
          <w:szCs w:val="24"/>
        </w:rPr>
      </w:pPr>
      <w:r>
        <w:rPr>
          <w:rFonts w:hint="default" w:ascii="Times New Roman" w:hAnsi="Times New Roman" w:cs="Times New Roman"/>
          <w:b/>
          <w:bCs/>
          <w:sz w:val="24"/>
          <w:szCs w:val="24"/>
        </w:rPr>
        <w:t>请结合案例材料，回答以下问题：</w:t>
      </w:r>
    </w:p>
    <w:p>
      <w:pPr>
        <w:pStyle w:val="12"/>
        <w:keepNext w:val="0"/>
        <w:keepLines w:val="0"/>
        <w:pageBreakBefore w:val="0"/>
        <w:widowControl w:val="0"/>
        <w:numPr>
          <w:ilvl w:val="0"/>
          <w:numId w:val="3"/>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锦江集团国际化发展的主要目的和动因是什么？</w:t>
      </w:r>
    </w:p>
    <w:p>
      <w:pPr>
        <w:pStyle w:val="12"/>
        <w:keepNext w:val="0"/>
        <w:keepLines w:val="0"/>
        <w:pageBreakBefore w:val="0"/>
        <w:widowControl w:val="0"/>
        <w:numPr>
          <w:ilvl w:val="0"/>
          <w:numId w:val="3"/>
        </w:numPr>
        <w:kinsoku/>
        <w:wordWrap/>
        <w:overflowPunct/>
        <w:topLinePunct w:val="0"/>
        <w:autoSpaceDE/>
        <w:autoSpaceDN/>
        <w:bidi w:val="0"/>
        <w:adjustRightInd/>
        <w:snapToGrid/>
        <w:spacing w:line="400" w:lineRule="exact"/>
        <w:ind w:firstLineChars="0"/>
        <w:textAlignment w:val="auto"/>
        <w:rPr>
          <w:rFonts w:hint="default" w:ascii="Times New Roman" w:hAnsi="Times New Roman" w:cs="Times New Roman"/>
          <w:bCs/>
          <w:sz w:val="21"/>
          <w:szCs w:val="21"/>
        </w:rPr>
      </w:pPr>
      <w:r>
        <w:rPr>
          <w:rFonts w:hint="default" w:ascii="Times New Roman" w:hAnsi="Times New Roman" w:cs="Times New Roman"/>
          <w:bCs/>
          <w:sz w:val="21"/>
          <w:szCs w:val="21"/>
        </w:rPr>
        <w:t>锦江集团在品牌国际化扩张过程中，在亚洲市场和欧洲市场的进入路径和模式有何差异？为什么要采取不同的模式和策略？</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Cs/>
          <w:sz w:val="21"/>
          <w:szCs w:val="21"/>
        </w:rPr>
      </w:pPr>
      <w:r>
        <w:rPr>
          <w:rFonts w:hint="default" w:ascii="Times New Roman" w:hAnsi="Times New Roman" w:cs="Times New Roman"/>
          <w:bCs/>
          <w:sz w:val="21"/>
          <w:szCs w:val="21"/>
        </w:rPr>
        <w:t>3、</w:t>
      </w:r>
      <w:r>
        <w:rPr>
          <w:rFonts w:hint="default" w:ascii="Times New Roman" w:hAnsi="Times New Roman" w:cs="Times New Roman" w:eastAsiaTheme="minorEastAsia"/>
          <w:bCs/>
          <w:sz w:val="21"/>
          <w:szCs w:val="21"/>
        </w:rPr>
        <w:t>锦江集团如何克服国际化进程中的困难？有哪些成功的经验或原则？</w:t>
      </w:r>
    </w:p>
    <w:p>
      <w:pPr>
        <w:pStyle w:val="12"/>
        <w:numPr>
          <w:ilvl w:val="0"/>
          <w:numId w:val="0"/>
        </w:numPr>
        <w:spacing w:line="360" w:lineRule="auto"/>
        <w:ind w:leftChars="0"/>
        <w:rPr>
          <w:rFonts w:hint="eastAsia" w:ascii="黑体" w:hAnsi="黑体" w:eastAsia="黑体"/>
          <w:sz w:val="36"/>
          <w:szCs w:val="36"/>
          <w:lang w:val="en-US" w:eastAsia="zh-CN"/>
        </w:rPr>
      </w:pPr>
    </w:p>
    <w:p>
      <w:pPr>
        <w:pStyle w:val="12"/>
        <w:numPr>
          <w:ilvl w:val="0"/>
          <w:numId w:val="0"/>
        </w:numPr>
        <w:spacing w:line="360" w:lineRule="auto"/>
        <w:ind w:leftChars="0"/>
        <w:rPr>
          <w:rFonts w:hint="eastAsia" w:ascii="黑体" w:hAnsi="黑体" w:eastAsia="黑体"/>
          <w:sz w:val="36"/>
          <w:szCs w:val="36"/>
          <w:lang w:val="en-US" w:eastAsia="zh-CN"/>
        </w:rPr>
      </w:pPr>
    </w:p>
    <w:p>
      <w:pPr>
        <w:pStyle w:val="12"/>
        <w:numPr>
          <w:ilvl w:val="0"/>
          <w:numId w:val="0"/>
        </w:numPr>
        <w:spacing w:line="360" w:lineRule="auto"/>
        <w:ind w:leftChars="0"/>
        <w:rPr>
          <w:rFonts w:hint="eastAsia" w:ascii="黑体" w:hAnsi="黑体" w:eastAsia="黑体"/>
          <w:sz w:val="36"/>
          <w:szCs w:val="36"/>
          <w:lang w:val="en-US" w:eastAsia="zh-CN"/>
        </w:rPr>
      </w:pPr>
    </w:p>
    <w:p>
      <w:pPr>
        <w:pStyle w:val="12"/>
        <w:numPr>
          <w:ilvl w:val="0"/>
          <w:numId w:val="0"/>
        </w:numPr>
        <w:spacing w:line="360" w:lineRule="auto"/>
        <w:ind w:leftChars="0"/>
        <w:rPr>
          <w:rFonts w:hint="default" w:ascii="黑体" w:hAnsi="黑体" w:eastAsia="黑体"/>
          <w:sz w:val="36"/>
          <w:szCs w:val="36"/>
          <w:lang w:val="en-US" w:eastAsia="zh-CN"/>
        </w:rPr>
      </w:pPr>
      <w:r>
        <w:rPr>
          <w:rFonts w:hint="eastAsia" w:ascii="黑体" w:hAnsi="黑体" w:eastAsia="黑体"/>
          <w:sz w:val="36"/>
          <w:szCs w:val="36"/>
          <w:lang w:val="en-US" w:eastAsia="zh-CN"/>
        </w:rPr>
        <w:t>企业战略管理参考答案</w:t>
      </w:r>
    </w:p>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val="en-US" w:eastAsia="zh-CN"/>
        </w:rPr>
        <w:t>一</w:t>
      </w:r>
      <w:r>
        <w:rPr>
          <w:rFonts w:hint="eastAsia" w:ascii="黑体" w:hAnsi="黑体" w:eastAsia="黑体"/>
          <w:sz w:val="24"/>
          <w:szCs w:val="24"/>
        </w:rPr>
        <w:t>判断题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656"/>
        <w:gridCol w:w="721"/>
        <w:gridCol w:w="720"/>
        <w:gridCol w:w="720"/>
        <w:gridCol w:w="721"/>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题号</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2</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3</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4</w:t>
            </w:r>
          </w:p>
        </w:tc>
        <w:tc>
          <w:tcPr>
            <w:tcW w:w="656"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5</w:t>
            </w:r>
          </w:p>
        </w:tc>
        <w:tc>
          <w:tcPr>
            <w:tcW w:w="721" w:type="dxa"/>
            <w:vAlign w:val="center"/>
          </w:tcPr>
          <w:p>
            <w:pPr>
              <w:jc w:val="center"/>
              <w:rPr>
                <w:rFonts w:cs="宋体" w:asciiTheme="minorEastAsia" w:hAnsiTheme="minorEastAsia"/>
                <w:b/>
                <w:bCs/>
                <w:szCs w:val="21"/>
              </w:rPr>
            </w:pPr>
          </w:p>
        </w:tc>
        <w:tc>
          <w:tcPr>
            <w:tcW w:w="720" w:type="dxa"/>
            <w:vAlign w:val="center"/>
          </w:tcPr>
          <w:p>
            <w:pPr>
              <w:jc w:val="center"/>
              <w:rPr>
                <w:rFonts w:cs="宋体" w:asciiTheme="minorEastAsia" w:hAnsiTheme="minorEastAsia"/>
                <w:b/>
                <w:bCs/>
                <w:szCs w:val="21"/>
              </w:rPr>
            </w:pPr>
          </w:p>
        </w:tc>
        <w:tc>
          <w:tcPr>
            <w:tcW w:w="720" w:type="dxa"/>
            <w:vAlign w:val="center"/>
          </w:tcPr>
          <w:p>
            <w:pPr>
              <w:jc w:val="center"/>
              <w:rPr>
                <w:rFonts w:cs="宋体" w:asciiTheme="minorEastAsia" w:hAnsiTheme="minorEastAsia"/>
                <w:b/>
                <w:bCs/>
                <w:szCs w:val="21"/>
              </w:rPr>
            </w:pPr>
          </w:p>
        </w:tc>
        <w:tc>
          <w:tcPr>
            <w:tcW w:w="721" w:type="dxa"/>
            <w:vAlign w:val="center"/>
          </w:tcPr>
          <w:p>
            <w:pPr>
              <w:jc w:val="center"/>
              <w:rPr>
                <w:rFonts w:cs="宋体" w:asciiTheme="minorEastAsia" w:hAnsiTheme="minorEastAsia"/>
                <w:b/>
                <w:bCs/>
                <w:szCs w:val="21"/>
              </w:rPr>
            </w:pPr>
          </w:p>
        </w:tc>
        <w:tc>
          <w:tcPr>
            <w:tcW w:w="721" w:type="dxa"/>
            <w:vAlign w:val="center"/>
          </w:tcPr>
          <w:p>
            <w:pPr>
              <w:jc w:val="center"/>
              <w:rPr>
                <w:rFonts w:cs="宋体" w:asciiTheme="minorEastAsia" w:hAnsi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答案</w:t>
            </w:r>
          </w:p>
        </w:tc>
        <w:tc>
          <w:tcPr>
            <w:tcW w:w="722" w:type="dxa"/>
            <w:vAlign w:val="center"/>
          </w:tcPr>
          <w:p>
            <w:pPr>
              <w:pStyle w:val="2"/>
              <w:widowControl/>
              <w:shd w:val="clear" w:color="auto" w:fill="FFFFFF"/>
              <w:spacing w:before="0" w:beforeAutospacing="0" w:after="0" w:afterAutospacing="0"/>
              <w:jc w:val="center"/>
              <w:rPr>
                <w:rFonts w:hint="default" w:cs="宋体" w:asciiTheme="minorEastAsia" w:hAnsiTheme="minorEastAsia" w:eastAsiaTheme="minorEastAsia"/>
                <w:szCs w:val="21"/>
              </w:rPr>
            </w:pPr>
            <w:r>
              <w:rPr>
                <w:rFonts w:cs="微软雅黑" w:asciiTheme="minorEastAsia" w:hAnsiTheme="minorEastAsia" w:eastAsiaTheme="minorEastAsia"/>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656"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1"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宋体" w:asciiTheme="minorEastAsia" w:hAnsiTheme="minorEastAsia"/>
                <w:b/>
                <w:bCs/>
                <w:szCs w:val="21"/>
              </w:rPr>
            </w:pPr>
          </w:p>
        </w:tc>
      </w:tr>
    </w:tbl>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val="en-US" w:eastAsia="zh-CN"/>
        </w:rPr>
        <w:t>二、</w:t>
      </w:r>
      <w:r>
        <w:rPr>
          <w:rFonts w:hint="eastAsia" w:ascii="黑体" w:hAnsi="黑体" w:eastAsia="黑体"/>
          <w:sz w:val="24"/>
          <w:szCs w:val="24"/>
        </w:rPr>
        <w:t>单项选择题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656"/>
        <w:gridCol w:w="721"/>
        <w:gridCol w:w="720"/>
        <w:gridCol w:w="720"/>
        <w:gridCol w:w="721"/>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题号</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2</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3</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4</w:t>
            </w:r>
          </w:p>
        </w:tc>
        <w:tc>
          <w:tcPr>
            <w:tcW w:w="656"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5</w:t>
            </w:r>
          </w:p>
        </w:tc>
        <w:tc>
          <w:tcPr>
            <w:tcW w:w="721" w:type="dxa"/>
            <w:vAlign w:val="center"/>
          </w:tcPr>
          <w:p>
            <w:pPr>
              <w:jc w:val="center"/>
              <w:rPr>
                <w:rFonts w:cs="宋体" w:asciiTheme="minorEastAsia" w:hAnsiTheme="minorEastAsia"/>
                <w:b/>
                <w:bCs/>
                <w:szCs w:val="21"/>
              </w:rPr>
            </w:pPr>
          </w:p>
        </w:tc>
        <w:tc>
          <w:tcPr>
            <w:tcW w:w="720" w:type="dxa"/>
            <w:vAlign w:val="center"/>
          </w:tcPr>
          <w:p>
            <w:pPr>
              <w:jc w:val="center"/>
              <w:rPr>
                <w:rFonts w:cs="宋体" w:asciiTheme="minorEastAsia" w:hAnsiTheme="minorEastAsia"/>
                <w:b/>
                <w:bCs/>
                <w:szCs w:val="21"/>
              </w:rPr>
            </w:pPr>
          </w:p>
        </w:tc>
        <w:tc>
          <w:tcPr>
            <w:tcW w:w="720" w:type="dxa"/>
            <w:vAlign w:val="center"/>
          </w:tcPr>
          <w:p>
            <w:pPr>
              <w:jc w:val="center"/>
              <w:rPr>
                <w:rFonts w:cs="宋体" w:asciiTheme="minorEastAsia" w:hAnsiTheme="minorEastAsia"/>
                <w:b/>
                <w:bCs/>
                <w:szCs w:val="21"/>
              </w:rPr>
            </w:pPr>
          </w:p>
        </w:tc>
        <w:tc>
          <w:tcPr>
            <w:tcW w:w="721" w:type="dxa"/>
            <w:vAlign w:val="center"/>
          </w:tcPr>
          <w:p>
            <w:pPr>
              <w:jc w:val="center"/>
              <w:rPr>
                <w:rFonts w:cs="宋体" w:asciiTheme="minorEastAsia" w:hAnsiTheme="minorEastAsia"/>
                <w:b/>
                <w:bCs/>
                <w:szCs w:val="21"/>
              </w:rPr>
            </w:pPr>
          </w:p>
        </w:tc>
        <w:tc>
          <w:tcPr>
            <w:tcW w:w="721" w:type="dxa"/>
            <w:vAlign w:val="center"/>
          </w:tcPr>
          <w:p>
            <w:pPr>
              <w:jc w:val="center"/>
              <w:rPr>
                <w:rFonts w:cs="宋体" w:asciiTheme="minorEastAsia" w:hAnsiTheme="minorEastAsia"/>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答案</w:t>
            </w:r>
          </w:p>
        </w:tc>
        <w:tc>
          <w:tcPr>
            <w:tcW w:w="722" w:type="dxa"/>
            <w:vAlign w:val="center"/>
          </w:tcPr>
          <w:p>
            <w:pPr>
              <w:pStyle w:val="2"/>
              <w:widowControl/>
              <w:shd w:val="clear" w:color="auto" w:fill="FFFFFF"/>
              <w:spacing w:before="0" w:beforeAutospacing="0" w:after="0" w:afterAutospacing="0"/>
              <w:jc w:val="center"/>
              <w:rPr>
                <w:rFonts w:hint="default" w:cs="宋体" w:asciiTheme="minorEastAsia" w:hAnsiTheme="minorEastAsia" w:eastAsiaTheme="minorEastAsia"/>
                <w:szCs w:val="21"/>
              </w:rPr>
            </w:pPr>
            <w:r>
              <w:rPr>
                <w:rFonts w:cs="微软雅黑" w:asciiTheme="minorEastAsia" w:hAnsiTheme="minorEastAsia" w:eastAsiaTheme="minorEastAsia"/>
                <w:color w:val="333333"/>
                <w:sz w:val="22"/>
                <w:shd w:val="clear" w:color="auto" w:fill="FFFFFF"/>
              </w:rPr>
              <w:t>C</w:t>
            </w:r>
          </w:p>
        </w:tc>
        <w:tc>
          <w:tcPr>
            <w:tcW w:w="722" w:type="dxa"/>
            <w:vAlign w:val="center"/>
          </w:tcPr>
          <w:p>
            <w:pPr>
              <w:jc w:val="center"/>
              <w:rPr>
                <w:rFonts w:cs="微软雅黑" w:asciiTheme="minorEastAsia" w:hAnsiTheme="minorEastAsia"/>
                <w:b/>
                <w:color w:val="333333"/>
                <w:sz w:val="22"/>
                <w:shd w:val="clear" w:color="auto" w:fill="FFFFFF"/>
              </w:rPr>
            </w:pP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B</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B</w:t>
            </w:r>
          </w:p>
        </w:tc>
        <w:tc>
          <w:tcPr>
            <w:tcW w:w="656"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D</w:t>
            </w:r>
          </w:p>
        </w:tc>
        <w:tc>
          <w:tcPr>
            <w:tcW w:w="721"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宋体" w:asciiTheme="minorEastAsia" w:hAnsiTheme="minorEastAsia"/>
                <w:b/>
                <w:bCs/>
                <w:szCs w:val="21"/>
              </w:rPr>
            </w:pPr>
          </w:p>
        </w:tc>
      </w:tr>
    </w:tbl>
    <w:p>
      <w:pPr>
        <w:pStyle w:val="12"/>
        <w:numPr>
          <w:ilvl w:val="0"/>
          <w:numId w:val="1"/>
        </w:numPr>
        <w:spacing w:line="360" w:lineRule="auto"/>
        <w:ind w:left="482" w:hanging="482" w:firstLineChars="0"/>
        <w:rPr>
          <w:rFonts w:ascii="黑体" w:hAnsi="黑体" w:eastAsia="黑体"/>
          <w:sz w:val="24"/>
          <w:szCs w:val="24"/>
        </w:rPr>
      </w:pPr>
      <w:r>
        <w:rPr>
          <w:rFonts w:hint="eastAsia" w:ascii="黑体" w:hAnsi="黑体" w:eastAsia="黑体"/>
          <w:sz w:val="24"/>
          <w:szCs w:val="24"/>
        </w:rPr>
        <w:t>简答题</w:t>
      </w:r>
    </w:p>
    <w:p>
      <w:pPr>
        <w:ind w:firstLine="420" w:firstLineChars="200"/>
        <w:rPr>
          <w:bCs/>
        </w:rPr>
      </w:pPr>
      <w:r>
        <w:rPr>
          <w:rFonts w:hint="eastAsia"/>
          <w:bCs/>
        </w:rPr>
        <w:t>1、什么是一般竞争战略？波特的一般竞争战略是以什么方式划分的？</w:t>
      </w:r>
    </w:p>
    <w:p>
      <w:pPr>
        <w:ind w:firstLine="420" w:firstLineChars="200"/>
        <w:rPr>
          <w:bCs/>
        </w:rPr>
      </w:pPr>
      <w:r>
        <w:rPr>
          <w:bCs/>
        </w:rPr>
        <w:t>答案可能包括</w:t>
      </w:r>
      <w:r>
        <w:rPr>
          <w:rFonts w:hint="eastAsia"/>
          <w:bCs/>
        </w:rPr>
        <w:t>：</w:t>
      </w:r>
    </w:p>
    <w:p>
      <w:pPr>
        <w:pStyle w:val="12"/>
        <w:numPr>
          <w:ilvl w:val="0"/>
          <w:numId w:val="4"/>
        </w:numPr>
        <w:ind w:firstLineChars="0"/>
        <w:rPr>
          <w:bCs/>
        </w:rPr>
      </w:pPr>
      <w:r>
        <w:rPr>
          <w:bCs/>
        </w:rPr>
        <w:t>一般竞争战略是指无论在什么行业</w:t>
      </w:r>
      <w:r>
        <w:rPr>
          <w:rFonts w:hint="eastAsia"/>
          <w:bCs/>
        </w:rPr>
        <w:t>，</w:t>
      </w:r>
      <w:r>
        <w:rPr>
          <w:bCs/>
        </w:rPr>
        <w:t>企业都可以采用的竞争性战略</w:t>
      </w:r>
      <w:r>
        <w:rPr>
          <w:rFonts w:hint="eastAsia"/>
          <w:bCs/>
        </w:rPr>
        <w:t>。</w:t>
      </w:r>
    </w:p>
    <w:p>
      <w:pPr>
        <w:pStyle w:val="12"/>
        <w:numPr>
          <w:ilvl w:val="0"/>
          <w:numId w:val="4"/>
        </w:numPr>
        <w:ind w:firstLineChars="0"/>
        <w:rPr>
          <w:bCs/>
        </w:rPr>
      </w:pPr>
      <w:r>
        <w:rPr>
          <w:bCs/>
        </w:rPr>
        <w:t>波特一般竞争战略的划分是根据经营领域的宽与窄</w:t>
      </w:r>
      <w:r>
        <w:rPr>
          <w:rFonts w:hint="eastAsia"/>
          <w:bCs/>
        </w:rPr>
        <w:t>，</w:t>
      </w:r>
      <w:r>
        <w:rPr>
          <w:bCs/>
        </w:rPr>
        <w:t>以及竞争优势是低成本还是产品差异性</w:t>
      </w:r>
      <w:r>
        <w:rPr>
          <w:rFonts w:hint="eastAsia"/>
          <w:bCs/>
        </w:rPr>
        <w:t>，</w:t>
      </w:r>
      <w:r>
        <w:rPr>
          <w:bCs/>
        </w:rPr>
        <w:t>将企业所采用的战略分为三种类型</w:t>
      </w:r>
      <w:r>
        <w:rPr>
          <w:rFonts w:hint="eastAsia"/>
          <w:bCs/>
        </w:rPr>
        <w:t>：</w:t>
      </w:r>
    </w:p>
    <w:p>
      <w:pPr>
        <w:pStyle w:val="12"/>
        <w:numPr>
          <w:ilvl w:val="0"/>
          <w:numId w:val="4"/>
        </w:numPr>
        <w:ind w:firstLineChars="0"/>
        <w:rPr>
          <w:bCs/>
        </w:rPr>
      </w:pPr>
      <w:r>
        <w:rPr>
          <w:bCs/>
        </w:rPr>
        <w:t>成本领先战略</w:t>
      </w:r>
      <w:r>
        <w:rPr>
          <w:rFonts w:hint="eastAsia"/>
          <w:bCs/>
        </w:rPr>
        <w:t>；</w:t>
      </w:r>
    </w:p>
    <w:p>
      <w:pPr>
        <w:pStyle w:val="12"/>
        <w:numPr>
          <w:ilvl w:val="0"/>
          <w:numId w:val="4"/>
        </w:numPr>
        <w:ind w:firstLineChars="0"/>
        <w:rPr>
          <w:bCs/>
        </w:rPr>
      </w:pPr>
      <w:r>
        <w:rPr>
          <w:bCs/>
        </w:rPr>
        <w:t>差异化战略</w:t>
      </w:r>
      <w:r>
        <w:rPr>
          <w:rFonts w:hint="eastAsia"/>
          <w:bCs/>
        </w:rPr>
        <w:t>；</w:t>
      </w:r>
    </w:p>
    <w:p>
      <w:pPr>
        <w:pStyle w:val="12"/>
        <w:numPr>
          <w:ilvl w:val="0"/>
          <w:numId w:val="4"/>
        </w:numPr>
        <w:ind w:firstLineChars="0"/>
        <w:rPr>
          <w:bCs/>
        </w:rPr>
      </w:pPr>
      <w:r>
        <w:rPr>
          <w:bCs/>
        </w:rPr>
        <w:t>重点集中战略</w:t>
      </w:r>
    </w:p>
    <w:p>
      <w:pPr>
        <w:ind w:left="283" w:leftChars="135"/>
        <w:rPr>
          <w:bCs/>
        </w:rPr>
      </w:pPr>
    </w:p>
    <w:p>
      <w:pPr>
        <w:ind w:firstLine="420" w:firstLineChars="200"/>
        <w:rPr>
          <w:bCs/>
        </w:rPr>
      </w:pPr>
      <w:r>
        <w:rPr>
          <w:rFonts w:hint="eastAsia"/>
          <w:bCs/>
        </w:rPr>
        <w:t>2、直线制组织结构的优点和缺点分别是什么？</w:t>
      </w:r>
    </w:p>
    <w:p>
      <w:pPr>
        <w:ind w:firstLine="420" w:firstLineChars="200"/>
        <w:rPr>
          <w:bCs/>
        </w:rPr>
      </w:pPr>
      <w:r>
        <w:rPr>
          <w:rFonts w:hint="eastAsia"/>
          <w:bCs/>
        </w:rPr>
        <w:t>直线制组织结构的</w:t>
      </w:r>
      <w:r>
        <w:rPr>
          <w:rFonts w:hint="eastAsia"/>
          <w:b/>
          <w:bCs/>
        </w:rPr>
        <w:t>优点</w:t>
      </w:r>
      <w:r>
        <w:rPr>
          <w:rFonts w:hint="eastAsia"/>
          <w:bCs/>
        </w:rPr>
        <w:t>：</w:t>
      </w:r>
    </w:p>
    <w:p>
      <w:pPr>
        <w:pStyle w:val="12"/>
        <w:numPr>
          <w:ilvl w:val="0"/>
          <w:numId w:val="5"/>
        </w:numPr>
        <w:ind w:firstLineChars="0"/>
        <w:rPr>
          <w:bCs/>
        </w:rPr>
      </w:pPr>
      <w:r>
        <w:rPr>
          <w:rFonts w:hint="eastAsia"/>
          <w:bCs/>
        </w:rPr>
        <w:t>管理结构简单，管理费用低；</w:t>
      </w:r>
    </w:p>
    <w:p>
      <w:pPr>
        <w:pStyle w:val="12"/>
        <w:numPr>
          <w:ilvl w:val="0"/>
          <w:numId w:val="5"/>
        </w:numPr>
        <w:ind w:firstLineChars="0"/>
        <w:rPr>
          <w:bCs/>
        </w:rPr>
      </w:pPr>
      <w:r>
        <w:rPr>
          <w:rFonts w:hint="eastAsia"/>
          <w:bCs/>
        </w:rPr>
        <w:t>统一指挥，统一领导；</w:t>
      </w:r>
    </w:p>
    <w:p>
      <w:pPr>
        <w:pStyle w:val="12"/>
        <w:numPr>
          <w:ilvl w:val="0"/>
          <w:numId w:val="5"/>
        </w:numPr>
        <w:ind w:firstLineChars="0"/>
        <w:rPr>
          <w:bCs/>
        </w:rPr>
      </w:pPr>
      <w:r>
        <w:rPr>
          <w:rFonts w:hint="eastAsia"/>
          <w:bCs/>
        </w:rPr>
        <w:t>权责明确，上下级关系清楚；</w:t>
      </w:r>
    </w:p>
    <w:p>
      <w:pPr>
        <w:pStyle w:val="12"/>
        <w:numPr>
          <w:ilvl w:val="0"/>
          <w:numId w:val="5"/>
        </w:numPr>
        <w:ind w:firstLineChars="0"/>
        <w:rPr>
          <w:bCs/>
        </w:rPr>
      </w:pPr>
      <w:r>
        <w:rPr>
          <w:rFonts w:hint="eastAsia"/>
          <w:bCs/>
        </w:rPr>
        <w:t>易于维持既定的纪律与秩序</w:t>
      </w:r>
    </w:p>
    <w:p>
      <w:pPr>
        <w:ind w:left="420"/>
        <w:rPr>
          <w:bCs/>
        </w:rPr>
      </w:pPr>
      <w:r>
        <w:rPr>
          <w:rFonts w:hint="eastAsia"/>
          <w:bCs/>
        </w:rPr>
        <w:t>直线制组织结构的</w:t>
      </w:r>
      <w:r>
        <w:rPr>
          <w:rFonts w:hint="eastAsia"/>
          <w:b/>
          <w:bCs/>
        </w:rPr>
        <w:t>缺点</w:t>
      </w:r>
      <w:r>
        <w:rPr>
          <w:rFonts w:hint="eastAsia"/>
          <w:bCs/>
        </w:rPr>
        <w:t>：</w:t>
      </w:r>
    </w:p>
    <w:p>
      <w:pPr>
        <w:pStyle w:val="12"/>
        <w:numPr>
          <w:ilvl w:val="0"/>
          <w:numId w:val="6"/>
        </w:numPr>
        <w:ind w:firstLineChars="0"/>
        <w:rPr>
          <w:bCs/>
        </w:rPr>
      </w:pPr>
      <w:r>
        <w:rPr>
          <w:rFonts w:hint="eastAsia"/>
          <w:bCs/>
        </w:rPr>
        <w:t>各层行政主管实行综合管理，无专业化分工，不易提高专业化管理水平；</w:t>
      </w:r>
    </w:p>
    <w:p>
      <w:pPr>
        <w:pStyle w:val="12"/>
        <w:numPr>
          <w:ilvl w:val="0"/>
          <w:numId w:val="6"/>
        </w:numPr>
        <w:ind w:firstLineChars="0"/>
        <w:rPr>
          <w:bCs/>
        </w:rPr>
      </w:pPr>
      <w:r>
        <w:rPr>
          <w:rFonts w:hint="eastAsia"/>
          <w:bCs/>
        </w:rPr>
        <w:t>要求行政主管通晓多种知识和技能，亲自处理各种业务，需要企业领导精明能干，具有多种管理专业知识和生产技能知识，如果不具备则无法胜任该职位；</w:t>
      </w:r>
    </w:p>
    <w:p>
      <w:pPr>
        <w:pStyle w:val="12"/>
        <w:numPr>
          <w:ilvl w:val="0"/>
          <w:numId w:val="6"/>
        </w:numPr>
        <w:ind w:firstLineChars="0"/>
        <w:rPr>
          <w:bCs/>
        </w:rPr>
      </w:pPr>
      <w:r>
        <w:rPr>
          <w:rFonts w:hint="eastAsia"/>
          <w:bCs/>
        </w:rPr>
        <w:t>缺乏横向沟通协调的渠道</w:t>
      </w:r>
    </w:p>
    <w:p>
      <w:pPr>
        <w:rPr>
          <w:bCs/>
        </w:rPr>
      </w:pPr>
    </w:p>
    <w:p>
      <w:pPr>
        <w:pStyle w:val="12"/>
        <w:numPr>
          <w:ilvl w:val="0"/>
          <w:numId w:val="1"/>
        </w:numPr>
        <w:spacing w:line="360" w:lineRule="auto"/>
        <w:ind w:firstLineChars="0"/>
        <w:rPr>
          <w:rFonts w:ascii="黑体" w:hAnsi="黑体" w:eastAsia="黑体"/>
          <w:sz w:val="24"/>
          <w:szCs w:val="24"/>
        </w:rPr>
      </w:pPr>
      <w:r>
        <w:rPr>
          <w:rFonts w:hint="eastAsia" w:ascii="黑体" w:hAnsi="黑体" w:eastAsia="黑体"/>
          <w:sz w:val="24"/>
          <w:szCs w:val="24"/>
        </w:rPr>
        <w:t>论述题</w:t>
      </w:r>
    </w:p>
    <w:p>
      <w:pPr>
        <w:ind w:firstLine="420" w:firstLineChars="200"/>
        <w:rPr>
          <w:szCs w:val="21"/>
        </w:rPr>
      </w:pPr>
      <w:r>
        <w:rPr>
          <w:rFonts w:hint="eastAsia"/>
          <w:szCs w:val="21"/>
        </w:rPr>
        <w:t>论述公司治理的概念及股东治理模式。</w:t>
      </w:r>
    </w:p>
    <w:p>
      <w:pPr>
        <w:pStyle w:val="12"/>
        <w:numPr>
          <w:ilvl w:val="0"/>
          <w:numId w:val="7"/>
        </w:numPr>
        <w:ind w:firstLineChars="0"/>
        <w:rPr>
          <w:bCs/>
        </w:rPr>
      </w:pPr>
      <w:r>
        <w:rPr>
          <w:rFonts w:hint="eastAsia"/>
          <w:bCs/>
        </w:rPr>
        <w:t>公司治理是统一协调公司各相关方利益的机制，通过这套机制来控制与指导公司的行为，并处理各相关方的矛盾与冲突。好的公司治理结构既能保障股东权利，又有助于提高经济运行的效率。对股东权益的保护是董事会考虑的核心，这源于经济学的代理人问题，也即所有者与其代理人可能发生的利益冲突。公司会产生代理人问题的原因是公司的所有权与经营权分离，公司由股东拥有，但由职业经理人经营管理。</w:t>
      </w:r>
    </w:p>
    <w:p>
      <w:pPr>
        <w:pStyle w:val="12"/>
        <w:numPr>
          <w:ilvl w:val="0"/>
          <w:numId w:val="7"/>
        </w:numPr>
        <w:ind w:firstLineChars="0"/>
        <w:rPr>
          <w:bCs/>
        </w:rPr>
      </w:pPr>
      <w:r>
        <w:rPr>
          <w:rFonts w:hint="eastAsia"/>
          <w:bCs/>
        </w:rPr>
        <w:t>股东治理模式是指依据契约向作为剩余利益的要求权者并承担经营风险的股东赋予一定的企业支配权，使企业在股东的治理下运营，这种模式可称为“股东治理”模式。它的特点是公司的目标仅为股东利益服务，其财务目标是“单一”的，即股东利益最大化。</w:t>
      </w:r>
    </w:p>
    <w:p>
      <w:pPr>
        <w:spacing w:line="360" w:lineRule="auto"/>
        <w:rPr>
          <w:rFonts w:ascii="黑体" w:hAnsi="黑体" w:eastAsia="黑体"/>
          <w:sz w:val="24"/>
          <w:szCs w:val="24"/>
        </w:rPr>
      </w:pPr>
      <w:r>
        <w:rPr>
          <w:rFonts w:hint="eastAsia" w:ascii="黑体" w:hAnsi="黑体" w:eastAsia="黑体"/>
          <w:sz w:val="24"/>
          <w:szCs w:val="24"/>
        </w:rPr>
        <w:t>五、案例分析题</w:t>
      </w:r>
    </w:p>
    <w:p>
      <w:pPr>
        <w:ind w:firstLine="420" w:firstLineChars="200"/>
        <w:rPr>
          <w:bCs/>
        </w:rPr>
      </w:pPr>
      <w:r>
        <w:rPr>
          <w:rFonts w:hint="eastAsia"/>
          <w:bCs/>
        </w:rPr>
        <w:t>1、锦江集团国际化发展的主要目的和动因是什么？</w:t>
      </w:r>
    </w:p>
    <w:p>
      <w:pPr>
        <w:ind w:firstLine="420" w:firstLineChars="200"/>
        <w:rPr>
          <w:bCs/>
        </w:rPr>
      </w:pPr>
      <w:r>
        <w:rPr>
          <w:bCs/>
        </w:rPr>
        <w:t>答案可能包括</w:t>
      </w:r>
      <w:r>
        <w:rPr>
          <w:rFonts w:hint="eastAsia"/>
          <w:bCs/>
        </w:rPr>
        <w:t>：</w:t>
      </w:r>
    </w:p>
    <w:p>
      <w:pPr>
        <w:pStyle w:val="12"/>
        <w:numPr>
          <w:ilvl w:val="0"/>
          <w:numId w:val="8"/>
        </w:numPr>
        <w:ind w:firstLineChars="0"/>
        <w:rPr>
          <w:bCs/>
        </w:rPr>
      </w:pPr>
      <w:r>
        <w:rPr>
          <w:rFonts w:hint="eastAsia"/>
          <w:bCs/>
        </w:rPr>
        <w:t>推动因素：国内市场趋于饱和；</w:t>
      </w:r>
    </w:p>
    <w:p>
      <w:pPr>
        <w:pStyle w:val="12"/>
        <w:numPr>
          <w:ilvl w:val="0"/>
          <w:numId w:val="8"/>
        </w:numPr>
        <w:ind w:firstLineChars="0"/>
        <w:rPr>
          <w:bCs/>
        </w:rPr>
      </w:pPr>
      <w:r>
        <w:rPr>
          <w:rFonts w:hint="eastAsia"/>
          <w:bCs/>
        </w:rPr>
        <w:t>推动因素：资产优化需求；</w:t>
      </w:r>
    </w:p>
    <w:p>
      <w:pPr>
        <w:pStyle w:val="12"/>
        <w:numPr>
          <w:ilvl w:val="0"/>
          <w:numId w:val="8"/>
        </w:numPr>
        <w:ind w:firstLineChars="0"/>
        <w:rPr>
          <w:bCs/>
        </w:rPr>
      </w:pPr>
      <w:r>
        <w:rPr>
          <w:rFonts w:hint="eastAsia"/>
          <w:bCs/>
        </w:rPr>
        <w:t>拉动因素：国际潜在市场不断扩大；</w:t>
      </w:r>
    </w:p>
    <w:p>
      <w:pPr>
        <w:pStyle w:val="12"/>
        <w:numPr>
          <w:ilvl w:val="0"/>
          <w:numId w:val="8"/>
        </w:numPr>
        <w:ind w:firstLineChars="0"/>
        <w:rPr>
          <w:bCs/>
        </w:rPr>
      </w:pPr>
      <w:r>
        <w:rPr>
          <w:rFonts w:hint="eastAsia"/>
          <w:bCs/>
        </w:rPr>
        <w:t>拉动因素：有利的政策支持</w:t>
      </w:r>
    </w:p>
    <w:p>
      <w:pPr>
        <w:ind w:firstLine="420" w:firstLineChars="200"/>
        <w:rPr>
          <w:bCs/>
        </w:rPr>
      </w:pPr>
    </w:p>
    <w:p>
      <w:pPr>
        <w:ind w:firstLine="420" w:firstLineChars="200"/>
        <w:rPr>
          <w:bCs/>
        </w:rPr>
      </w:pPr>
      <w:r>
        <w:rPr>
          <w:rFonts w:hint="eastAsia"/>
          <w:bCs/>
        </w:rPr>
        <w:t>2、锦江集团在品牌国际化扩张过程中，在亚洲市场和欧洲市场的进入路径和模式有何差异？为什么要采取不同的模式和策略？</w:t>
      </w:r>
    </w:p>
    <w:p>
      <w:pPr>
        <w:pStyle w:val="12"/>
        <w:numPr>
          <w:ilvl w:val="0"/>
          <w:numId w:val="7"/>
        </w:numPr>
        <w:ind w:firstLineChars="0"/>
        <w:rPr>
          <w:bCs/>
        </w:rPr>
      </w:pPr>
      <w:r>
        <w:rPr>
          <w:rFonts w:hint="eastAsia"/>
          <w:bCs/>
        </w:rPr>
        <w:t>锦江集团在品牌国际化扩张过程中，主要采取了三种方式的市场进入模式</w:t>
      </w:r>
    </w:p>
    <w:p>
      <w:pPr>
        <w:pStyle w:val="12"/>
        <w:numPr>
          <w:ilvl w:val="0"/>
          <w:numId w:val="9"/>
        </w:numPr>
        <w:ind w:firstLineChars="0"/>
        <w:rPr>
          <w:bCs/>
        </w:rPr>
      </w:pPr>
      <w:r>
        <w:rPr>
          <w:rFonts w:hint="eastAsia"/>
          <w:bCs/>
        </w:rPr>
        <w:t>在亚洲市场主要采取品牌输出；</w:t>
      </w:r>
    </w:p>
    <w:p>
      <w:pPr>
        <w:pStyle w:val="12"/>
        <w:numPr>
          <w:ilvl w:val="0"/>
          <w:numId w:val="9"/>
        </w:numPr>
        <w:ind w:firstLineChars="0"/>
        <w:rPr>
          <w:bCs/>
        </w:rPr>
      </w:pPr>
      <w:r>
        <w:rPr>
          <w:rFonts w:hint="eastAsia"/>
          <w:bCs/>
        </w:rPr>
        <w:t>在欧洲市场主要采取品牌联盟和品牌并购</w:t>
      </w:r>
    </w:p>
    <w:p>
      <w:pPr>
        <w:pStyle w:val="12"/>
        <w:ind w:left="1260" w:firstLine="0" w:firstLineChars="0"/>
        <w:rPr>
          <w:bCs/>
        </w:rPr>
      </w:pPr>
    </w:p>
    <w:p>
      <w:pPr>
        <w:pStyle w:val="12"/>
        <w:numPr>
          <w:ilvl w:val="0"/>
          <w:numId w:val="7"/>
        </w:numPr>
        <w:ind w:firstLineChars="0"/>
        <w:rPr>
          <w:bCs/>
        </w:rPr>
      </w:pPr>
      <w:r>
        <w:rPr>
          <w:rFonts w:hint="eastAsia"/>
          <w:bCs/>
        </w:rPr>
        <w:t>采取不同的进入模式和策略的原因</w:t>
      </w:r>
    </w:p>
    <w:p>
      <w:pPr>
        <w:pStyle w:val="12"/>
        <w:numPr>
          <w:ilvl w:val="0"/>
          <w:numId w:val="9"/>
        </w:numPr>
        <w:ind w:firstLineChars="0"/>
        <w:rPr>
          <w:bCs/>
        </w:rPr>
      </w:pPr>
      <w:r>
        <w:rPr>
          <w:rFonts w:hint="eastAsia"/>
          <w:bCs/>
        </w:rPr>
        <w:t>不同的市场采用不同的品牌输出策略，做到“因地制宜”；</w:t>
      </w:r>
    </w:p>
    <w:p>
      <w:pPr>
        <w:pStyle w:val="12"/>
        <w:numPr>
          <w:ilvl w:val="0"/>
          <w:numId w:val="9"/>
        </w:numPr>
        <w:ind w:firstLineChars="0"/>
        <w:rPr>
          <w:bCs/>
        </w:rPr>
      </w:pPr>
      <w:r>
        <w:rPr>
          <w:rFonts w:hint="eastAsia"/>
          <w:bCs/>
        </w:rPr>
        <w:t>以品牌联盟作为海外扩张的</w:t>
      </w:r>
      <w:r>
        <w:rPr>
          <w:bCs/>
        </w:rPr>
        <w:t>“</w:t>
      </w:r>
      <w:r>
        <w:rPr>
          <w:rFonts w:hint="eastAsia"/>
          <w:bCs/>
        </w:rPr>
        <w:t>跳板</w:t>
      </w:r>
      <w:r>
        <w:rPr>
          <w:bCs/>
        </w:rPr>
        <w:t>”</w:t>
      </w:r>
      <w:r>
        <w:rPr>
          <w:rFonts w:hint="eastAsia"/>
          <w:bCs/>
        </w:rPr>
        <w:t>；</w:t>
      </w:r>
    </w:p>
    <w:p>
      <w:pPr>
        <w:pStyle w:val="12"/>
        <w:numPr>
          <w:ilvl w:val="0"/>
          <w:numId w:val="9"/>
        </w:numPr>
        <w:ind w:firstLineChars="0"/>
        <w:rPr>
          <w:bCs/>
        </w:rPr>
      </w:pPr>
      <w:r>
        <w:rPr>
          <w:rFonts w:hint="eastAsia"/>
          <w:bCs/>
        </w:rPr>
        <w:t>以品牌并购作为海外扩张的</w:t>
      </w:r>
      <w:r>
        <w:rPr>
          <w:bCs/>
        </w:rPr>
        <w:t>“</w:t>
      </w:r>
      <w:r>
        <w:rPr>
          <w:rFonts w:hint="eastAsia"/>
          <w:bCs/>
        </w:rPr>
        <w:t>堡垒</w:t>
      </w:r>
      <w:r>
        <w:rPr>
          <w:bCs/>
        </w:rPr>
        <w:t>”</w:t>
      </w:r>
    </w:p>
    <w:p>
      <w:pPr>
        <w:rPr>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7044646"/>
      <w:docPartObj>
        <w:docPartGallery w:val="autotext"/>
      </w:docPartObj>
    </w:sdtPr>
    <w:sdtContent>
      <w:p>
        <w:pPr>
          <w:pStyle w:val="4"/>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D07B5"/>
    <w:multiLevelType w:val="multilevel"/>
    <w:tmpl w:val="02DD07B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C77E54"/>
    <w:multiLevelType w:val="multilevel"/>
    <w:tmpl w:val="13C77E5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21E9105D"/>
    <w:multiLevelType w:val="multilevel"/>
    <w:tmpl w:val="21E9105D"/>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2ED37EF0"/>
    <w:multiLevelType w:val="multilevel"/>
    <w:tmpl w:val="2ED37EF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3B02732B"/>
    <w:multiLevelType w:val="multilevel"/>
    <w:tmpl w:val="3B02732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3BB26915"/>
    <w:multiLevelType w:val="multilevel"/>
    <w:tmpl w:val="3BB26915"/>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6">
    <w:nsid w:val="51E16BB8"/>
    <w:multiLevelType w:val="multilevel"/>
    <w:tmpl w:val="51E16BB8"/>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5504E40"/>
    <w:multiLevelType w:val="multilevel"/>
    <w:tmpl w:val="75504E4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8">
    <w:nsid w:val="7EF72346"/>
    <w:multiLevelType w:val="multilevel"/>
    <w:tmpl w:val="7EF72346"/>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num w:numId="1">
    <w:abstractNumId w:val="6"/>
  </w:num>
  <w:num w:numId="2">
    <w:abstractNumId w:val="4"/>
  </w:num>
  <w:num w:numId="3">
    <w:abstractNumId w:val="0"/>
  </w:num>
  <w:num w:numId="4">
    <w:abstractNumId w:val="7"/>
  </w:num>
  <w:num w:numId="5">
    <w:abstractNumId w:val="5"/>
  </w:num>
  <w:num w:numId="6">
    <w:abstractNumId w:val="3"/>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764CAF"/>
    <w:rsid w:val="000B0244"/>
    <w:rsid w:val="001E7C8C"/>
    <w:rsid w:val="002328D9"/>
    <w:rsid w:val="002C2740"/>
    <w:rsid w:val="00395005"/>
    <w:rsid w:val="00434404"/>
    <w:rsid w:val="004A58B2"/>
    <w:rsid w:val="0053182C"/>
    <w:rsid w:val="00580756"/>
    <w:rsid w:val="005865D8"/>
    <w:rsid w:val="00610D8B"/>
    <w:rsid w:val="00694F3F"/>
    <w:rsid w:val="00764CAF"/>
    <w:rsid w:val="008A4576"/>
    <w:rsid w:val="008A55C5"/>
    <w:rsid w:val="008B1D94"/>
    <w:rsid w:val="008D3153"/>
    <w:rsid w:val="00C12818"/>
    <w:rsid w:val="00C1668E"/>
    <w:rsid w:val="00C648C9"/>
    <w:rsid w:val="00C93D16"/>
    <w:rsid w:val="00CC65B5"/>
    <w:rsid w:val="00D2547F"/>
    <w:rsid w:val="00EA5758"/>
    <w:rsid w:val="00EF7CAD"/>
    <w:rsid w:val="00F07505"/>
    <w:rsid w:val="00F55B12"/>
    <w:rsid w:val="00FA4D4D"/>
    <w:rsid w:val="00FB3794"/>
    <w:rsid w:val="00FD6CE5"/>
    <w:rsid w:val="0E682AF0"/>
    <w:rsid w:val="19024E0F"/>
    <w:rsid w:val="19241D0A"/>
    <w:rsid w:val="26B14E31"/>
    <w:rsid w:val="295379EE"/>
    <w:rsid w:val="2B74413D"/>
    <w:rsid w:val="31796C3F"/>
    <w:rsid w:val="35156BDB"/>
    <w:rsid w:val="5DD40BD5"/>
    <w:rsid w:val="5DF43025"/>
    <w:rsid w:val="77952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0"/>
    <w:pPr>
      <w:spacing w:before="100" w:beforeAutospacing="1" w:after="100"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批注框文本 Char"/>
    <w:basedOn w:val="7"/>
    <w:link w:val="3"/>
    <w:semiHidden/>
    <w:uiPriority w:val="99"/>
    <w:rPr>
      <w:sz w:val="18"/>
      <w:szCs w:val="18"/>
    </w:rPr>
  </w:style>
  <w:style w:type="character" w:customStyle="1" w:styleId="10">
    <w:name w:val="页眉 Char"/>
    <w:basedOn w:val="7"/>
    <w:link w:val="5"/>
    <w:qFormat/>
    <w:uiPriority w:val="99"/>
    <w:rPr>
      <w:sz w:val="18"/>
      <w:szCs w:val="18"/>
    </w:rPr>
  </w:style>
  <w:style w:type="character" w:customStyle="1" w:styleId="11">
    <w:name w:val="页脚 Char"/>
    <w:basedOn w:val="7"/>
    <w:link w:val="4"/>
    <w:uiPriority w:val="99"/>
    <w:rPr>
      <w:sz w:val="18"/>
      <w:szCs w:val="18"/>
    </w:rPr>
  </w:style>
  <w:style w:type="paragraph" w:styleId="12">
    <w:name w:val="List Paragraph"/>
    <w:basedOn w:val="1"/>
    <w:qFormat/>
    <w:uiPriority w:val="34"/>
    <w:pPr>
      <w:ind w:firstLine="420" w:firstLineChars="200"/>
    </w:pPr>
  </w:style>
  <w:style w:type="character" w:customStyle="1" w:styleId="13">
    <w:name w:val="标题 1 Char"/>
    <w:basedOn w:val="7"/>
    <w:link w:val="2"/>
    <w:qFormat/>
    <w:uiPriority w:val="0"/>
    <w:rPr>
      <w:rFonts w:ascii="宋体" w:hAnsi="宋体" w:eastAsia="宋体" w:cs="Times New Roman"/>
      <w:b/>
      <w:bCs/>
      <w:kern w:val="44"/>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4426</Words>
  <Characters>4635</Characters>
  <Lines>15</Lines>
  <Paragraphs>4</Paragraphs>
  <TotalTime>1</TotalTime>
  <ScaleCrop>false</ScaleCrop>
  <LinksUpToDate>false</LinksUpToDate>
  <CharactersWithSpaces>5043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2022-02-09T09:28:00Z</dcterms:created>
  <dc:creator>thinkpad</dc:creator>
  <cp:lastModifiedBy>育华教育叶燮燮</cp:lastModifiedBy>
  <dcterms:modified xsi:type="dcterms:W3CDTF">2023-06-02T01:23:04Z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CF941BEC9F8940F58BFB53FA46AE3546</vt:lpwstr>
  </property>
</Properties>
</file>