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20" w:lineRule="exact"/>
        <w:jc w:val="both"/>
        <w:rPr>
          <w:rFonts w:hint="eastAsia"/>
          <w:b/>
          <w:bCs/>
          <w:sz w:val="28"/>
          <w:szCs w:val="28"/>
          <w:u w:val="single"/>
          <w:lang w:eastAsia="zh-CN"/>
        </w:rPr>
      </w:pPr>
      <w:r>
        <w:rPr>
          <w:rFonts w:hint="eastAsia"/>
          <w:b/>
          <w:bCs/>
          <w:sz w:val="28"/>
          <w:szCs w:val="28"/>
        </w:rPr>
        <w:t xml:space="preserve">课程 </w:t>
      </w:r>
      <w:r>
        <w:rPr>
          <w:rFonts w:hint="eastAsia"/>
          <w:b/>
          <w:bCs/>
          <w:sz w:val="28"/>
          <w:szCs w:val="28"/>
          <w:u w:val="single"/>
        </w:rPr>
        <w:t xml:space="preserve"> 会计信息系统 </w:t>
      </w:r>
      <w:r>
        <w:rPr>
          <w:rFonts w:hint="eastAsia"/>
          <w:b/>
          <w:bCs/>
          <w:sz w:val="28"/>
          <w:szCs w:val="28"/>
          <w:u w:val="single"/>
          <w:lang w:eastAsia="zh-CN"/>
        </w:rPr>
        <w:t>复习资料</w:t>
      </w:r>
    </w:p>
    <w:p>
      <w:pPr>
        <w:spacing w:line="400" w:lineRule="exact"/>
        <w:rPr>
          <w:rFonts w:ascii="黑体" w:hAnsi="黑体" w:eastAsia="黑体" w:cs="黑体"/>
          <w:sz w:val="24"/>
        </w:rPr>
      </w:pPr>
      <w:r>
        <w:rPr>
          <w:rFonts w:hint="eastAsia" w:ascii="黑体" w:hAnsi="黑体" w:eastAsia="黑体" w:cs="黑体"/>
          <w:sz w:val="24"/>
        </w:rPr>
        <w:t>一、名词解释：</w:t>
      </w:r>
    </w:p>
    <w:p>
      <w:pPr>
        <w:spacing w:line="400" w:lineRule="exact"/>
      </w:pPr>
      <w:r>
        <w:rPr>
          <w:rFonts w:hint="eastAsia"/>
        </w:rPr>
        <w:t>1、信息</w:t>
      </w:r>
    </w:p>
    <w:p>
      <w:pPr>
        <w:spacing w:line="400" w:lineRule="exact"/>
      </w:pPr>
    </w:p>
    <w:p>
      <w:pPr>
        <w:numPr>
          <w:ilvl w:val="0"/>
          <w:numId w:val="1"/>
        </w:numPr>
        <w:spacing w:line="400" w:lineRule="exact"/>
      </w:pPr>
      <w:r>
        <w:rPr>
          <w:rFonts w:hint="eastAsia"/>
        </w:rPr>
        <w:t>会计信息系统管理</w:t>
      </w:r>
    </w:p>
    <w:p>
      <w:pPr>
        <w:spacing w:line="400" w:lineRule="exact"/>
      </w:pPr>
    </w:p>
    <w:p>
      <w:pPr>
        <w:numPr>
          <w:ilvl w:val="0"/>
          <w:numId w:val="1"/>
        </w:numPr>
        <w:spacing w:line="400" w:lineRule="exact"/>
      </w:pPr>
    </w:p>
    <w:p>
      <w:pPr>
        <w:spacing w:line="400" w:lineRule="exact"/>
      </w:pPr>
    </w:p>
    <w:p>
      <w:pPr>
        <w:numPr>
          <w:ilvl w:val="0"/>
          <w:numId w:val="1"/>
        </w:numPr>
        <w:spacing w:line="400" w:lineRule="exact"/>
      </w:pPr>
    </w:p>
    <w:p>
      <w:pPr>
        <w:spacing w:line="400" w:lineRule="exact"/>
      </w:pPr>
    </w:p>
    <w:p>
      <w:pPr>
        <w:spacing w:line="400" w:lineRule="exact"/>
      </w:pPr>
      <w:bookmarkStart w:id="0" w:name="_GoBack"/>
      <w:bookmarkEnd w:id="0"/>
    </w:p>
    <w:p>
      <w:pPr>
        <w:spacing w:line="400" w:lineRule="exact"/>
        <w:rPr>
          <w:rFonts w:ascii="黑体" w:hAnsi="黑体" w:eastAsia="黑体" w:cs="黑体"/>
          <w:sz w:val="24"/>
        </w:rPr>
      </w:pPr>
      <w:r>
        <w:rPr>
          <w:rFonts w:hint="eastAsia" w:ascii="黑体" w:hAnsi="黑体" w:eastAsia="黑体" w:cs="黑体"/>
          <w:sz w:val="24"/>
        </w:rPr>
        <w:t>二、填空题：</w:t>
      </w:r>
    </w:p>
    <w:p>
      <w:pPr>
        <w:spacing w:line="400" w:lineRule="exact"/>
        <w:rPr>
          <w:rFonts w:hAnsi="宋体"/>
          <w:szCs w:val="21"/>
        </w:rPr>
      </w:pPr>
      <w:r>
        <w:rPr>
          <w:rFonts w:hint="eastAsia"/>
        </w:rPr>
        <w:t>1、</w:t>
      </w:r>
      <w:r>
        <w:rPr>
          <w:rFonts w:hint="eastAsia" w:hAnsi="宋体"/>
          <w:szCs w:val="21"/>
        </w:rPr>
        <w:t>根据内部控制的要求，凭证</w:t>
      </w:r>
      <w:r>
        <w:rPr>
          <w:rFonts w:hint="eastAsia"/>
          <w:u w:val="single"/>
        </w:rPr>
        <w:t xml:space="preserve">               </w:t>
      </w:r>
      <w:r>
        <w:rPr>
          <w:rFonts w:hint="eastAsia" w:hAnsi="宋体"/>
          <w:szCs w:val="21"/>
        </w:rPr>
        <w:t>和</w:t>
      </w:r>
      <w:r>
        <w:rPr>
          <w:rFonts w:hint="eastAsia"/>
          <w:u w:val="single"/>
        </w:rPr>
        <w:t xml:space="preserve">               </w:t>
      </w:r>
      <w:r>
        <w:rPr>
          <w:rFonts w:hint="eastAsia" w:hAnsi="宋体"/>
          <w:szCs w:val="21"/>
        </w:rPr>
        <w:t>不能是同一人。</w:t>
      </w:r>
    </w:p>
    <w:p>
      <w:pPr>
        <w:spacing w:line="400" w:lineRule="exact"/>
        <w:rPr>
          <w:rFonts w:hAnsi="宋体"/>
          <w:szCs w:val="21"/>
        </w:rPr>
      </w:pPr>
      <w:r>
        <w:rPr>
          <w:rFonts w:hint="eastAsia"/>
        </w:rPr>
        <w:t>2、</w:t>
      </w:r>
    </w:p>
    <w:p>
      <w:pPr>
        <w:spacing w:line="400" w:lineRule="exact"/>
      </w:pPr>
      <w:r>
        <w:rPr>
          <w:rFonts w:hint="eastAsia"/>
        </w:rPr>
        <w:t>3、</w:t>
      </w:r>
    </w:p>
    <w:p>
      <w:pPr>
        <w:spacing w:line="400" w:lineRule="exact"/>
      </w:pPr>
      <w:r>
        <w:rPr>
          <w:rFonts w:hint="eastAsia"/>
        </w:rPr>
        <w:t>4、由于电子数据可在任何时间、任何地点发送，具有较大的不确定性，因此</w:t>
      </w:r>
      <w:r>
        <w:rPr>
          <w:rFonts w:hint="eastAsia"/>
          <w:u w:val="single"/>
        </w:rPr>
        <w:t xml:space="preserve">               </w:t>
      </w:r>
      <w:r>
        <w:rPr>
          <w:rFonts w:hint="eastAsia"/>
        </w:rPr>
        <w:t>更适合于电子商务。</w:t>
      </w:r>
    </w:p>
    <w:p>
      <w:pPr>
        <w:spacing w:line="400" w:lineRule="exact"/>
      </w:pPr>
      <w:r>
        <w:rPr>
          <w:rFonts w:hint="eastAsia"/>
        </w:rPr>
        <w:t>5、互联网上的财务报告的文本格式主要有三种，即</w:t>
      </w:r>
      <w:r>
        <w:rPr>
          <w:rFonts w:hint="eastAsia"/>
          <w:u w:val="single"/>
        </w:rPr>
        <w:t xml:space="preserve">               </w:t>
      </w:r>
      <w:r>
        <w:rPr>
          <w:rFonts w:hint="eastAsia"/>
        </w:rPr>
        <w:t>、</w:t>
      </w:r>
      <w:r>
        <w:rPr>
          <w:rFonts w:hint="eastAsia"/>
          <w:u w:val="single"/>
        </w:rPr>
        <w:t xml:space="preserve">                </w:t>
      </w:r>
      <w:r>
        <w:rPr>
          <w:rFonts w:hint="eastAsia"/>
        </w:rPr>
        <w:t>和交互式格式。</w:t>
      </w:r>
    </w:p>
    <w:p>
      <w:pPr>
        <w:spacing w:line="400" w:lineRule="exact"/>
      </w:pPr>
    </w:p>
    <w:p>
      <w:pPr>
        <w:spacing w:line="400" w:lineRule="exact"/>
        <w:rPr>
          <w:rFonts w:ascii="黑体" w:hAnsi="黑体" w:eastAsia="黑体" w:cs="黑体"/>
          <w:sz w:val="24"/>
        </w:rPr>
      </w:pPr>
      <w:r>
        <w:rPr>
          <w:rFonts w:hint="eastAsia" w:ascii="黑体" w:hAnsi="黑体" w:eastAsia="黑体" w:cs="黑体"/>
          <w:sz w:val="24"/>
        </w:rPr>
        <w:t>三、简答题：</w:t>
      </w:r>
    </w:p>
    <w:p>
      <w:pPr>
        <w:spacing w:line="400" w:lineRule="exact"/>
      </w:pPr>
      <w:r>
        <w:rPr>
          <w:rFonts w:hint="eastAsia"/>
        </w:rPr>
        <w:t>1、简述系统直接修改的步骤。</w:t>
      </w:r>
    </w:p>
    <w:p>
      <w:pPr>
        <w:spacing w:line="400" w:lineRule="exact"/>
      </w:pPr>
    </w:p>
    <w:p>
      <w:pPr>
        <w:spacing w:line="400" w:lineRule="exact"/>
      </w:pPr>
    </w:p>
    <w:p>
      <w:pPr>
        <w:spacing w:line="400" w:lineRule="exact"/>
      </w:pPr>
    </w:p>
    <w:p>
      <w:pPr>
        <w:numPr>
          <w:ilvl w:val="0"/>
          <w:numId w:val="2"/>
        </w:numPr>
        <w:spacing w:line="400" w:lineRule="exact"/>
      </w:pPr>
      <w:r>
        <w:rPr>
          <w:rFonts w:hint="eastAsia"/>
        </w:rPr>
        <w:t>简述会计信息系统存在的风险。</w:t>
      </w:r>
    </w:p>
    <w:p>
      <w:pPr>
        <w:spacing w:line="400" w:lineRule="exact"/>
      </w:pPr>
    </w:p>
    <w:p>
      <w:pPr>
        <w:spacing w:line="400" w:lineRule="exact"/>
      </w:pPr>
    </w:p>
    <w:p>
      <w:pPr>
        <w:spacing w:line="400" w:lineRule="exact"/>
      </w:pPr>
    </w:p>
    <w:p>
      <w:pPr>
        <w:spacing w:line="400" w:lineRule="exact"/>
      </w:pPr>
    </w:p>
    <w:p>
      <w:pPr>
        <w:numPr>
          <w:ilvl w:val="0"/>
          <w:numId w:val="2"/>
        </w:numPr>
        <w:spacing w:line="400" w:lineRule="exact"/>
      </w:pPr>
    </w:p>
    <w:p>
      <w:pPr>
        <w:spacing w:line="400" w:lineRule="exact"/>
      </w:pPr>
    </w:p>
    <w:p>
      <w:pPr>
        <w:spacing w:line="400" w:lineRule="exact"/>
      </w:pPr>
    </w:p>
    <w:p>
      <w:pPr>
        <w:spacing w:line="400" w:lineRule="exact"/>
        <w:rPr>
          <w:rFonts w:ascii="黑体" w:hAnsi="黑体" w:eastAsia="黑体" w:cs="黑体"/>
          <w:sz w:val="24"/>
        </w:rPr>
      </w:pPr>
    </w:p>
    <w:p>
      <w:pPr>
        <w:spacing w:line="400" w:lineRule="exact"/>
        <w:rPr>
          <w:rFonts w:hint="eastAsia" w:ascii="黑体" w:hAnsi="黑体" w:eastAsia="黑体" w:cs="黑体"/>
          <w:sz w:val="24"/>
        </w:rPr>
      </w:pPr>
    </w:p>
    <w:p>
      <w:pPr>
        <w:spacing w:line="400" w:lineRule="exact"/>
      </w:pPr>
      <w:r>
        <w:rPr>
          <w:rFonts w:hint="eastAsia" w:ascii="黑体" w:hAnsi="黑体" w:eastAsia="黑体" w:cs="黑体"/>
          <w:sz w:val="24"/>
        </w:rPr>
        <w:t>四、设计题：</w:t>
      </w:r>
    </w:p>
    <w:p>
      <w:pPr>
        <w:pStyle w:val="2"/>
        <w:tabs>
          <w:tab w:val="left" w:pos="840"/>
        </w:tabs>
        <w:spacing w:before="0" w:beforeAutospacing="0" w:after="0" w:afterAutospacing="0" w:line="400" w:lineRule="exact"/>
        <w:jc w:val="both"/>
        <w:rPr>
          <w:sz w:val="21"/>
          <w:szCs w:val="21"/>
        </w:rPr>
      </w:pPr>
      <w:r>
        <w:rPr>
          <w:rFonts w:hint="eastAsia"/>
          <w:sz w:val="21"/>
          <w:szCs w:val="21"/>
        </w:rPr>
        <w:t xml:space="preserve">请分析下述问题，并写出操作思路。 </w:t>
      </w:r>
    </w:p>
    <w:p>
      <w:pPr>
        <w:pStyle w:val="2"/>
        <w:tabs>
          <w:tab w:val="left" w:pos="840"/>
        </w:tabs>
        <w:spacing w:before="0" w:beforeAutospacing="0" w:after="0" w:afterAutospacing="0" w:line="400" w:lineRule="exact"/>
        <w:ind w:firstLine="420" w:firstLineChars="200"/>
        <w:jc w:val="both"/>
        <w:rPr>
          <w:sz w:val="21"/>
          <w:szCs w:val="21"/>
        </w:rPr>
      </w:pPr>
      <w:r>
        <w:rPr>
          <w:rFonts w:hint="eastAsia"/>
          <w:sz w:val="21"/>
          <w:szCs w:val="21"/>
        </w:rPr>
        <w:t xml:space="preserve">华兴公司使用用友ERP U-8软件进行日常账务处理，总账系统的用户在操作过程中遇到如下问题：2012年1月8日，华兴公司销售甲产品一批给大地公司，货款当天以工行转账支票的形式收到，制单员当日填制收字0008记账凭证一张。2012年1月15日，制单员发现他所填制的收字0008记账凭证中借方科目误将“银行存款——工行存款”填成了“银行存款——中行存款”，试图去修改该张凭证，结果发现收字0008记账凭证已被记账，请问制单员应该如何去改正收字0008记账凭证中的错误？ </w:t>
      </w: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rPr>
          <w:rFonts w:ascii="黑体" w:hAnsi="黑体" w:eastAsia="黑体" w:cs="黑体"/>
          <w:sz w:val="24"/>
        </w:rPr>
      </w:pPr>
    </w:p>
    <w:p>
      <w:pPr>
        <w:spacing w:line="400" w:lineRule="exact"/>
        <w:rPr>
          <w:rFonts w:ascii="黑体" w:hAnsi="黑体" w:eastAsia="黑体" w:cs="黑体"/>
          <w:sz w:val="24"/>
        </w:rPr>
      </w:pPr>
      <w:r>
        <w:rPr>
          <w:rFonts w:hint="eastAsia" w:ascii="黑体" w:hAnsi="黑体" w:eastAsia="黑体" w:cs="黑体"/>
          <w:sz w:val="24"/>
        </w:rPr>
        <w:t>五、案例分析题：</w:t>
      </w:r>
    </w:p>
    <w:p>
      <w:pPr>
        <w:widowControl/>
        <w:spacing w:line="400" w:lineRule="exact"/>
        <w:ind w:firstLine="411" w:firstLineChars="196"/>
        <w:rPr>
          <w:rFonts w:ascii="宋体" w:hAnsi="宋体" w:cs="宋体"/>
          <w:b/>
          <w:kern w:val="0"/>
          <w:szCs w:val="21"/>
        </w:rPr>
      </w:pPr>
      <w:r>
        <w:rPr>
          <w:rFonts w:hint="eastAsia" w:ascii="宋体" w:hAnsi="宋体" w:cs="宋体"/>
          <w:bCs/>
          <w:kern w:val="0"/>
          <w:szCs w:val="21"/>
        </w:rPr>
        <w:t>资料（一）</w:t>
      </w:r>
    </w:p>
    <w:p>
      <w:pPr>
        <w:spacing w:line="400" w:lineRule="exact"/>
        <w:ind w:firstLine="420" w:firstLineChars="200"/>
        <w:rPr>
          <w:szCs w:val="21"/>
        </w:rPr>
      </w:pPr>
      <w:r>
        <w:rPr>
          <w:rFonts w:hint="eastAsia"/>
          <w:szCs w:val="21"/>
        </w:rPr>
        <w:t>同济堂是一家集科研、生产、销售、种植为一体的高新技术药业。始创于清光绪十四年（公元1888年），乃百年老字号。以“遵古炮制、备货齐全”，并聘请名医坐诊而闻名，“秤足质好、药采道地、明码实价、诚实待人、童叟无欺”而受信赖。同济堂制成的各种成药，对其主治病症卓有疗效，一经问世，口碑相传。同济堂始终以“为民除病，济世为民”为宗旨，把经济效益寓于社会效益之中，也因此兴旺至今。</w:t>
      </w:r>
    </w:p>
    <w:p>
      <w:pPr>
        <w:widowControl/>
        <w:spacing w:line="400" w:lineRule="exact"/>
        <w:ind w:firstLine="420" w:firstLineChars="200"/>
        <w:rPr>
          <w:rFonts w:ascii="宋体" w:hAnsi="宋体" w:cs="宋体"/>
          <w:kern w:val="0"/>
          <w:szCs w:val="21"/>
        </w:rPr>
      </w:pPr>
      <w:r>
        <w:rPr>
          <w:rFonts w:hint="eastAsia"/>
          <w:szCs w:val="21"/>
        </w:rPr>
        <w:t>公司以同济堂制药有限公司为中心，分别成立了贵州同济堂制药有限公司制药二厂、贵州同济堂药品配送有限公司、贵州同济堂药房连锁有限公司、贵州同济堂中药饮片有限公司、贵州同济堂文化传播公司5个全资子公司。</w:t>
      </w:r>
      <w:r>
        <w:rPr>
          <w:rFonts w:ascii="宋体" w:hAnsi="宋体" w:cs="宋体"/>
          <w:kern w:val="0"/>
          <w:szCs w:val="21"/>
        </w:rPr>
        <w:t xml:space="preserve"> </w:t>
      </w:r>
    </w:p>
    <w:p>
      <w:pPr>
        <w:spacing w:line="400" w:lineRule="exact"/>
        <w:ind w:firstLine="420" w:firstLineChars="200"/>
        <w:rPr>
          <w:rFonts w:ascii="宋体" w:hAnsi="宋体" w:cs="宋体"/>
          <w:bCs/>
          <w:kern w:val="0"/>
          <w:szCs w:val="21"/>
        </w:rPr>
      </w:pPr>
      <w:r>
        <w:rPr>
          <w:rFonts w:hint="eastAsia" w:ascii="宋体" w:hAnsi="宋体" w:cs="宋体"/>
          <w:bCs/>
          <w:kern w:val="0"/>
          <w:szCs w:val="21"/>
        </w:rPr>
        <w:t>资料（二）</w:t>
      </w:r>
    </w:p>
    <w:p>
      <w:pPr>
        <w:spacing w:line="400" w:lineRule="exact"/>
        <w:ind w:firstLine="420" w:firstLineChars="200"/>
        <w:rPr>
          <w:szCs w:val="21"/>
        </w:rPr>
      </w:pPr>
      <w:r>
        <w:rPr>
          <w:rFonts w:hint="eastAsia"/>
          <w:szCs w:val="21"/>
        </w:rPr>
        <w:t>同济堂公司发展到如今的规模实属不易，企业的发展离不开资金、技术和人员等等综合要素，此外，先进的管理思想保证了企业在激烈的市场竞争中立于不败之地。ERP系统正是集众多企业成功经营管理模式与知识的工具，二十一世纪企业信息化程度和水平构建了企业自身的核心竞争力。</w:t>
      </w:r>
    </w:p>
    <w:p>
      <w:pPr>
        <w:spacing w:line="400" w:lineRule="exact"/>
        <w:ind w:firstLine="420" w:firstLineChars="200"/>
        <w:rPr>
          <w:szCs w:val="21"/>
        </w:rPr>
      </w:pPr>
      <w:r>
        <w:rPr>
          <w:rFonts w:hint="eastAsia"/>
          <w:szCs w:val="21"/>
        </w:rPr>
        <w:t>实施ERP系统成为同济堂最重要的发展战略之一。</w:t>
      </w:r>
    </w:p>
    <w:p>
      <w:pPr>
        <w:numPr>
          <w:ilvl w:val="0"/>
          <w:numId w:val="3"/>
        </w:numPr>
        <w:spacing w:line="400" w:lineRule="exact"/>
        <w:ind w:firstLine="420" w:firstLineChars="200"/>
        <w:rPr>
          <w:szCs w:val="21"/>
        </w:rPr>
      </w:pPr>
      <w:r>
        <w:rPr>
          <w:rFonts w:hint="eastAsia"/>
          <w:szCs w:val="21"/>
        </w:rPr>
        <w:t>企业营销网络遍布全国，数据传递以往依靠电子邮件、传真、快递等方式，而没有一个统一的平台进行处理，这样造成各地销售数据传达滞后，总部不能及时掌握各地销售情况和库存情况，而不能在第一时间做出正确的判断与决策。</w:t>
      </w:r>
    </w:p>
    <w:p>
      <w:pPr>
        <w:numPr>
          <w:ilvl w:val="0"/>
          <w:numId w:val="3"/>
        </w:numPr>
        <w:spacing w:line="400" w:lineRule="exact"/>
        <w:ind w:firstLine="420" w:firstLineChars="200"/>
        <w:rPr>
          <w:szCs w:val="21"/>
        </w:rPr>
      </w:pPr>
      <w:r>
        <w:rPr>
          <w:rFonts w:hint="eastAsia"/>
          <w:szCs w:val="21"/>
        </w:rPr>
        <w:t>企业各部门之间数据不共享，工作效率不高、协调性差，市场灵敏度也随之受到影响。</w:t>
      </w:r>
    </w:p>
    <w:p>
      <w:pPr>
        <w:spacing w:line="400" w:lineRule="exact"/>
        <w:rPr>
          <w:szCs w:val="21"/>
        </w:rPr>
      </w:pPr>
      <w:r>
        <w:rPr>
          <w:rFonts w:hint="eastAsia"/>
          <w:szCs w:val="21"/>
        </w:rPr>
        <w:t xml:space="preserve">    面对这些问题所带来的挑战，同济堂并没有退缩，而是果敢的决定以信息化建设来提升企业管理能力让企业发展迈上新台阶。</w:t>
      </w:r>
    </w:p>
    <w:p>
      <w:pPr>
        <w:spacing w:line="400" w:lineRule="exact"/>
        <w:ind w:firstLine="420" w:firstLineChars="200"/>
        <w:rPr>
          <w:rFonts w:ascii="宋体" w:hAnsi="宋体" w:cs="宋体"/>
          <w:bCs/>
          <w:kern w:val="0"/>
          <w:szCs w:val="21"/>
        </w:rPr>
      </w:pPr>
      <w:r>
        <w:rPr>
          <w:rFonts w:hint="eastAsia" w:ascii="宋体" w:hAnsi="宋体" w:cs="宋体"/>
          <w:bCs/>
          <w:kern w:val="0"/>
          <w:szCs w:val="21"/>
        </w:rPr>
        <w:t>资料（三）</w:t>
      </w:r>
    </w:p>
    <w:p>
      <w:pPr>
        <w:spacing w:line="400" w:lineRule="exact"/>
        <w:ind w:firstLine="420" w:firstLineChars="200"/>
        <w:rPr>
          <w:szCs w:val="21"/>
        </w:rPr>
      </w:pPr>
      <w:r>
        <w:rPr>
          <w:rFonts w:hint="eastAsia"/>
          <w:szCs w:val="21"/>
        </w:rPr>
        <w:t xml:space="preserve">基于前期的规划与调研，同济堂ERP项目共分为二期：（1）包含应收管理子系统、应付管理子系统、自动分录子系统、会计总账子系统、存货管理系统、采购管理系统、销售管理系统、资产管理系统、工作流等模块，主要解决销售、采购、库存、财务数据的准确性、及时性、共享性等问题以及各业务单据、报销凭证走网上审批流程，实现无纸化办公。（2）包含产品结构管理、工艺管理等其他模块，实现生产、成本、计划等方面的全面管理。   </w:t>
      </w:r>
    </w:p>
    <w:p>
      <w:pPr>
        <w:spacing w:line="400" w:lineRule="exact"/>
        <w:ind w:firstLine="420" w:firstLineChars="200"/>
        <w:rPr>
          <w:szCs w:val="21"/>
        </w:rPr>
      </w:pPr>
      <w:r>
        <w:rPr>
          <w:rFonts w:hint="eastAsia"/>
          <w:szCs w:val="21"/>
        </w:rPr>
        <w:t>前期调查企业存在的管理问题：（1）库存、批号的管理问题，同济堂的库存物资不算多，但因其行业特性对各种中成药、中草药、包装材料都有严格的批号管理，在原来手工方式下，批号易出现人为错误，批号库存不清的问题一直困扰着同济堂。（2）销售数据的统计问题，同济堂营销网络遍布全国，信息分散无法共享和集成、信息传递方式落后，总部总是不能及时了解各地办事处销售及库存情况，因此错失商机时有发生。（3）财务数据与业务数据核对困难，同济堂使用了一套单独的财务软件，每月出报表可以，但没有与业务单位集成，造成每月财务部门要花大量精力与业务部门进行对账。</w:t>
      </w:r>
    </w:p>
    <w:p>
      <w:pPr>
        <w:spacing w:line="400" w:lineRule="exact"/>
        <w:ind w:firstLine="420" w:firstLineChars="200"/>
        <w:rPr>
          <w:szCs w:val="21"/>
        </w:rPr>
      </w:pPr>
      <w:r>
        <w:rPr>
          <w:rFonts w:hint="eastAsia"/>
          <w:szCs w:val="21"/>
        </w:rPr>
        <w:t>神州数码顾问与信息中心技术人员深入到每一个部门详细了解同济堂的需求和问题，提出有针对性地解决方案。</w:t>
      </w:r>
    </w:p>
    <w:p>
      <w:pPr>
        <w:spacing w:line="400" w:lineRule="exact"/>
        <w:ind w:firstLine="420" w:firstLineChars="200"/>
        <w:rPr>
          <w:szCs w:val="21"/>
        </w:rPr>
      </w:pPr>
      <w:r>
        <w:rPr>
          <w:rFonts w:hint="eastAsia"/>
          <w:szCs w:val="21"/>
        </w:rPr>
        <w:t>在经过前期调研和方案确定后，双方的行动方案和目标更加明确。从流程整理、基础数据准备、培训、二次开发、模拟运行、正式上线一路走来，虽然中途也经历过挫折、神州数码和同济堂的项目组也曾为一个问题的解决方法反复修改过或激烈的争论过，但这些都无法阻止同济堂ERP系统的成功上线。</w:t>
      </w:r>
    </w:p>
    <w:p>
      <w:pPr>
        <w:spacing w:line="400" w:lineRule="exact"/>
        <w:ind w:firstLine="420" w:firstLineChars="200"/>
        <w:rPr>
          <w:bCs/>
          <w:szCs w:val="21"/>
        </w:rPr>
      </w:pPr>
      <w:r>
        <w:rPr>
          <w:rFonts w:hint="eastAsia" w:ascii="宋体" w:hAnsi="宋体" w:cs="宋体"/>
          <w:bCs/>
          <w:kern w:val="0"/>
          <w:szCs w:val="21"/>
        </w:rPr>
        <w:t>资料四：</w:t>
      </w:r>
    </w:p>
    <w:p>
      <w:pPr>
        <w:spacing w:line="400" w:lineRule="exact"/>
        <w:ind w:firstLine="420" w:firstLineChars="200"/>
        <w:rPr>
          <w:szCs w:val="21"/>
        </w:rPr>
      </w:pPr>
      <w:r>
        <w:rPr>
          <w:rFonts w:hint="eastAsia"/>
          <w:szCs w:val="21"/>
        </w:rPr>
        <w:t>同济堂ERP项目历时4个月时间，实现了进销存业务与财务的一体化管理，进销存及应收、应付业务凭证完全通过自动生成，无需手工录入。每月只要财务作完凭证，系统可以自动核对，方便快捷，使财务人员和业务人员有更多的时间投入到业务研究和管理中，从而提高了自身的业务水平。</w:t>
      </w:r>
    </w:p>
    <w:p>
      <w:pPr>
        <w:spacing w:line="400" w:lineRule="exact"/>
        <w:rPr>
          <w:szCs w:val="21"/>
        </w:rPr>
      </w:pPr>
      <w:r>
        <w:rPr>
          <w:rFonts w:hint="eastAsia" w:ascii="宋体" w:hAnsi="宋体"/>
          <w:b/>
          <w:szCs w:val="21"/>
        </w:rPr>
        <w:t>请在阅读完全部材料的基础上，回答以下问题：</w:t>
      </w:r>
    </w:p>
    <w:p>
      <w:pPr>
        <w:widowControl/>
        <w:spacing w:line="400" w:lineRule="exact"/>
        <w:rPr>
          <w:rFonts w:ascii="宋体" w:hAnsi="宋体" w:cs="Arial"/>
          <w:kern w:val="0"/>
          <w:szCs w:val="21"/>
        </w:rPr>
      </w:pPr>
      <w:r>
        <w:rPr>
          <w:rFonts w:ascii="宋体" w:hAnsi="宋体" w:cs="Arial"/>
          <w:kern w:val="0"/>
          <w:szCs w:val="21"/>
        </w:rPr>
        <w:t>1、</w:t>
      </w:r>
      <w:r>
        <w:rPr>
          <w:rFonts w:hint="eastAsia" w:ascii="宋体" w:hAnsi="宋体" w:cs="Arial"/>
          <w:kern w:val="0"/>
          <w:szCs w:val="21"/>
        </w:rPr>
        <w:t>同仁堂为什么要实施ERP项目？</w:t>
      </w:r>
    </w:p>
    <w:p>
      <w:pPr>
        <w:spacing w:line="400" w:lineRule="exact"/>
        <w:rPr>
          <w:rFonts w:ascii="宋体" w:hAnsi="宋体" w:cs="Arial"/>
          <w:kern w:val="0"/>
          <w:szCs w:val="21"/>
        </w:rPr>
      </w:pPr>
    </w:p>
    <w:p>
      <w:pPr>
        <w:spacing w:line="400" w:lineRule="exact"/>
        <w:rPr>
          <w:rFonts w:ascii="宋体" w:hAnsi="宋体" w:cs="Arial"/>
          <w:kern w:val="0"/>
          <w:szCs w:val="21"/>
        </w:rPr>
      </w:pPr>
    </w:p>
    <w:p>
      <w:pPr>
        <w:spacing w:line="400" w:lineRule="exact"/>
        <w:rPr>
          <w:rFonts w:ascii="宋体" w:hAnsi="宋体" w:cs="Arial"/>
          <w:kern w:val="0"/>
          <w:szCs w:val="21"/>
        </w:rPr>
      </w:pPr>
    </w:p>
    <w:p>
      <w:pPr>
        <w:spacing w:line="400" w:lineRule="exact"/>
        <w:rPr>
          <w:rFonts w:ascii="宋体" w:hAnsi="宋体" w:cs="Arial"/>
          <w:kern w:val="0"/>
          <w:szCs w:val="21"/>
        </w:rPr>
      </w:pPr>
    </w:p>
    <w:p>
      <w:pPr>
        <w:spacing w:line="400" w:lineRule="exact"/>
        <w:rPr>
          <w:rFonts w:ascii="宋体" w:hAnsi="宋体" w:cs="Arial"/>
          <w:kern w:val="0"/>
          <w:szCs w:val="21"/>
        </w:rPr>
      </w:pPr>
    </w:p>
    <w:p>
      <w:pPr>
        <w:spacing w:line="400" w:lineRule="exact"/>
        <w:rPr>
          <w:rFonts w:ascii="宋体" w:hAnsi="宋体" w:cs="Arial"/>
          <w:kern w:val="0"/>
          <w:szCs w:val="21"/>
        </w:rPr>
      </w:pPr>
    </w:p>
    <w:p>
      <w:pPr>
        <w:spacing w:line="400" w:lineRule="exact"/>
        <w:rPr>
          <w:rFonts w:ascii="宋体" w:hAnsi="宋体" w:cs="Arial"/>
          <w:kern w:val="0"/>
          <w:szCs w:val="21"/>
        </w:rPr>
      </w:pPr>
    </w:p>
    <w:p>
      <w:pPr>
        <w:spacing w:line="400" w:lineRule="exact"/>
        <w:rPr>
          <w:rFonts w:ascii="宋体" w:hAnsi="宋体" w:cs="Arial"/>
          <w:kern w:val="0"/>
          <w:szCs w:val="21"/>
        </w:rPr>
      </w:pPr>
    </w:p>
    <w:p>
      <w:pPr>
        <w:widowControl/>
        <w:spacing w:line="400" w:lineRule="exact"/>
        <w:rPr>
          <w:rFonts w:hint="eastAsia" w:ascii="宋体" w:hAnsi="宋体" w:cs="Arial"/>
          <w:kern w:val="0"/>
          <w:szCs w:val="21"/>
        </w:rPr>
      </w:pPr>
    </w:p>
    <w:p>
      <w:pPr>
        <w:widowControl/>
        <w:spacing w:line="400" w:lineRule="exact"/>
        <w:rPr>
          <w:rFonts w:ascii="宋体" w:hAnsi="宋体" w:cs="Arial"/>
          <w:kern w:val="0"/>
          <w:szCs w:val="21"/>
        </w:rPr>
      </w:pPr>
      <w:r>
        <w:rPr>
          <w:rFonts w:hint="eastAsia" w:ascii="宋体" w:hAnsi="宋体" w:cs="Arial"/>
          <w:kern w:val="0"/>
          <w:szCs w:val="21"/>
        </w:rPr>
        <w:t>2、</w:t>
      </w:r>
    </w:p>
    <w:p>
      <w:pPr>
        <w:widowControl/>
        <w:spacing w:line="400" w:lineRule="exact"/>
        <w:rPr>
          <w:rFonts w:ascii="宋体" w:hAnsi="宋体" w:cs="Arial"/>
          <w:kern w:val="0"/>
          <w:szCs w:val="21"/>
        </w:rPr>
      </w:pPr>
    </w:p>
    <w:p>
      <w:pPr>
        <w:widowControl/>
        <w:spacing w:line="400" w:lineRule="exact"/>
        <w:rPr>
          <w:rFonts w:ascii="宋体" w:hAnsi="宋体" w:cs="Arial"/>
          <w:kern w:val="0"/>
          <w:szCs w:val="21"/>
        </w:rPr>
      </w:pPr>
    </w:p>
    <w:p>
      <w:pPr>
        <w:widowControl/>
        <w:spacing w:line="400" w:lineRule="exact"/>
        <w:rPr>
          <w:rFonts w:ascii="宋体" w:hAnsi="宋体" w:cs="Arial"/>
          <w:kern w:val="0"/>
          <w:szCs w:val="21"/>
        </w:rPr>
      </w:pPr>
    </w:p>
    <w:p>
      <w:pPr>
        <w:widowControl/>
        <w:spacing w:line="400" w:lineRule="exact"/>
        <w:rPr>
          <w:rFonts w:ascii="宋体" w:hAnsi="宋体" w:cs="Arial"/>
          <w:kern w:val="0"/>
          <w:szCs w:val="21"/>
        </w:rPr>
      </w:pPr>
    </w:p>
    <w:p>
      <w:pPr>
        <w:widowControl/>
        <w:spacing w:line="400" w:lineRule="exact"/>
        <w:rPr>
          <w:rFonts w:ascii="宋体" w:hAnsi="宋体" w:cs="Arial"/>
          <w:kern w:val="0"/>
          <w:szCs w:val="21"/>
        </w:rPr>
      </w:pPr>
    </w:p>
    <w:p>
      <w:pPr>
        <w:widowControl/>
        <w:spacing w:line="400" w:lineRule="exact"/>
        <w:rPr>
          <w:rFonts w:ascii="宋体" w:hAnsi="宋体" w:cs="Arial"/>
          <w:kern w:val="0"/>
          <w:szCs w:val="21"/>
        </w:rPr>
      </w:pPr>
    </w:p>
    <w:p>
      <w:pPr>
        <w:widowControl/>
        <w:spacing w:line="400" w:lineRule="exact"/>
        <w:rPr>
          <w:rFonts w:ascii="宋体" w:hAnsi="宋体" w:cs="Arial"/>
          <w:kern w:val="0"/>
          <w:szCs w:val="21"/>
        </w:rPr>
      </w:pPr>
    </w:p>
    <w:p>
      <w:pPr>
        <w:widowControl/>
        <w:spacing w:line="400" w:lineRule="exact"/>
        <w:rPr>
          <w:rFonts w:ascii="宋体" w:hAnsi="宋体" w:cs="Arial"/>
          <w:kern w:val="0"/>
          <w:szCs w:val="21"/>
        </w:rPr>
      </w:pPr>
    </w:p>
    <w:p>
      <w:pPr>
        <w:widowControl/>
        <w:spacing w:line="400" w:lineRule="exact"/>
        <w:rPr>
          <w:rFonts w:ascii="宋体" w:hAnsi="宋体" w:cs="Arial"/>
          <w:kern w:val="0"/>
          <w:szCs w:val="21"/>
        </w:rPr>
      </w:pPr>
    </w:p>
    <w:p>
      <w:pPr>
        <w:widowControl/>
        <w:spacing w:line="400" w:lineRule="exact"/>
        <w:rPr>
          <w:rFonts w:ascii="宋体" w:hAnsi="宋体" w:cs="Arial"/>
          <w:kern w:val="0"/>
          <w:szCs w:val="21"/>
        </w:rPr>
      </w:pPr>
    </w:p>
    <w:p>
      <w:pPr>
        <w:widowControl/>
        <w:spacing w:line="400" w:lineRule="exact"/>
        <w:rPr>
          <w:rFonts w:ascii="宋体" w:hAnsi="宋体" w:cs="Arial"/>
          <w:kern w:val="0"/>
          <w:szCs w:val="21"/>
        </w:rPr>
      </w:pPr>
      <w:r>
        <w:rPr>
          <w:rFonts w:hint="eastAsia" w:ascii="宋体" w:hAnsi="宋体" w:cs="Arial"/>
          <w:kern w:val="0"/>
          <w:szCs w:val="21"/>
        </w:rPr>
        <w:t>3</w:t>
      </w:r>
      <w:r>
        <w:rPr>
          <w:rFonts w:ascii="宋体" w:hAnsi="宋体" w:cs="Arial"/>
          <w:kern w:val="0"/>
          <w:szCs w:val="21"/>
        </w:rPr>
        <w:t>、</w:t>
      </w:r>
      <w:r>
        <w:rPr>
          <w:rFonts w:hint="eastAsia" w:ascii="宋体" w:hAnsi="宋体" w:cs="Arial"/>
          <w:kern w:val="0"/>
          <w:szCs w:val="21"/>
        </w:rPr>
        <w:t>请你详细谈谈同仁堂ERP项目为什么会成功？</w:t>
      </w:r>
    </w:p>
    <w:p>
      <w:pPr>
        <w:spacing w:line="400" w:lineRule="exact"/>
        <w:rPr>
          <w:b/>
        </w:rPr>
      </w:pPr>
    </w:p>
    <w:p>
      <w:pPr>
        <w:spacing w:line="400" w:lineRule="exact"/>
        <w:rPr>
          <w:b/>
        </w:rPr>
      </w:pPr>
    </w:p>
    <w:p>
      <w:pPr>
        <w:spacing w:line="400" w:lineRule="exact"/>
        <w:rPr>
          <w:b/>
        </w:rPr>
      </w:pPr>
    </w:p>
    <w:p>
      <w:pPr>
        <w:spacing w:line="400" w:lineRule="exact"/>
        <w:rPr>
          <w:b/>
        </w:rPr>
      </w:pPr>
    </w:p>
    <w:p>
      <w:pPr>
        <w:spacing w:line="400" w:lineRule="exact"/>
        <w:rPr>
          <w:b/>
        </w:rPr>
      </w:pPr>
    </w:p>
    <w:p>
      <w:pPr>
        <w:spacing w:line="400" w:lineRule="exact"/>
        <w:rPr>
          <w:b/>
        </w:rPr>
      </w:pPr>
    </w:p>
    <w:p>
      <w:pPr>
        <w:spacing w:line="400" w:lineRule="exact"/>
        <w:rPr>
          <w:b/>
        </w:rPr>
      </w:pPr>
    </w:p>
    <w:p>
      <w:pPr>
        <w:spacing w:line="400" w:lineRule="exact"/>
        <w:rPr>
          <w:b/>
        </w:rPr>
      </w:pPr>
    </w:p>
    <w:p>
      <w:pPr>
        <w:spacing w:line="400" w:lineRule="exact"/>
        <w:rPr>
          <w:b/>
        </w:rPr>
      </w:pPr>
    </w:p>
    <w:p>
      <w:pPr>
        <w:spacing w:line="400" w:lineRule="exact"/>
        <w:rPr>
          <w:b/>
        </w:rPr>
      </w:pPr>
    </w:p>
    <w:p>
      <w:pPr>
        <w:spacing w:line="400" w:lineRule="exact"/>
        <w:rPr>
          <w:b/>
        </w:rPr>
      </w:pPr>
    </w:p>
    <w:p>
      <w:pPr>
        <w:spacing w:line="400" w:lineRule="exact"/>
        <w:rPr>
          <w:b/>
        </w:rPr>
      </w:pPr>
    </w:p>
    <w:p>
      <w:pPr>
        <w:spacing w:line="400" w:lineRule="exact"/>
      </w:pPr>
    </w:p>
    <w:p>
      <w:pPr>
        <w:rPr>
          <w:rFonts w:ascii="黑体" w:hAnsi="黑体" w:eastAsia="黑体" w:cs="黑体"/>
          <w:sz w:val="24"/>
        </w:rPr>
      </w:pPr>
      <w:r>
        <w:rPr>
          <w:rFonts w:hint="eastAsia" w:ascii="黑体" w:hAnsi="黑体" w:eastAsia="黑体" w:cs="黑体"/>
          <w:sz w:val="24"/>
        </w:rPr>
        <w:t>六、论述题：</w:t>
      </w:r>
    </w:p>
    <w:p>
      <w:pPr>
        <w:spacing w:line="400" w:lineRule="exact"/>
      </w:pPr>
      <w:r>
        <w:rPr>
          <w:rFonts w:hint="eastAsia" w:ascii="Arial" w:hAnsi="Arial" w:cs="Arial"/>
          <w:szCs w:val="21"/>
        </w:rPr>
        <w:t>以BtoC为例，请你谈谈第三方支付的实现流程及其优缺点。</w:t>
      </w:r>
    </w:p>
    <w:p>
      <w:pPr>
        <w:spacing w:line="400" w:lineRule="exact"/>
      </w:pPr>
    </w:p>
    <w:p>
      <w:pPr>
        <w:spacing w:line="420" w:lineRule="exact"/>
        <w:jc w:val="both"/>
        <w:rPr>
          <w:rFonts w:hint="eastAsia"/>
          <w:b/>
          <w:bCs/>
          <w:sz w:val="28"/>
          <w:szCs w:val="28"/>
          <w:u w:val="single"/>
          <w:lang w:val="en-US" w:eastAsia="zh-CN"/>
        </w:rPr>
      </w:pPr>
    </w:p>
    <w:p/>
    <w:p>
      <w:pPr>
        <w:spacing w:line="400" w:lineRule="exact"/>
        <w:rPr>
          <w:rFonts w:hint="eastAsia" w:ascii="黑体" w:hAnsi="黑体" w:eastAsia="黑体" w:cs="黑体"/>
          <w:sz w:val="24"/>
        </w:rPr>
      </w:pPr>
    </w:p>
    <w:p>
      <w:pPr>
        <w:spacing w:line="400" w:lineRule="exact"/>
        <w:rPr>
          <w:rFonts w:hint="eastAsia" w:ascii="黑体" w:hAnsi="黑体" w:eastAsia="黑体" w:cs="黑体"/>
          <w:sz w:val="24"/>
        </w:rPr>
      </w:pPr>
    </w:p>
    <w:p>
      <w:pPr>
        <w:spacing w:line="400" w:lineRule="exact"/>
        <w:rPr>
          <w:rFonts w:hint="eastAsia" w:ascii="黑体" w:hAnsi="黑体" w:eastAsia="黑体" w:cs="黑体"/>
          <w:sz w:val="24"/>
        </w:rPr>
      </w:pPr>
    </w:p>
    <w:p>
      <w:pPr>
        <w:spacing w:line="400" w:lineRule="exact"/>
        <w:rPr>
          <w:rFonts w:hint="eastAsia" w:ascii="黑体" w:hAnsi="黑体" w:eastAsia="黑体" w:cs="黑体"/>
          <w:sz w:val="24"/>
        </w:rPr>
      </w:pPr>
    </w:p>
    <w:p>
      <w:pPr>
        <w:spacing w:line="400" w:lineRule="exact"/>
        <w:rPr>
          <w:rFonts w:hint="eastAsia" w:ascii="黑体" w:hAnsi="黑体" w:eastAsia="黑体" w:cs="黑体"/>
          <w:sz w:val="24"/>
        </w:rPr>
      </w:pPr>
    </w:p>
    <w:p>
      <w:pPr>
        <w:spacing w:line="400" w:lineRule="exact"/>
        <w:rPr>
          <w:rFonts w:ascii="黑体" w:hAnsi="黑体" w:eastAsia="黑体" w:cs="黑体"/>
          <w:sz w:val="24"/>
        </w:rPr>
      </w:pPr>
      <w:r>
        <w:rPr>
          <w:rFonts w:hint="eastAsia" w:ascii="黑体" w:hAnsi="黑体" w:eastAsia="黑体" w:cs="黑体"/>
          <w:sz w:val="24"/>
        </w:rPr>
        <w:t>一、名词解释：</w:t>
      </w:r>
    </w:p>
    <w:p>
      <w:pPr>
        <w:spacing w:line="400" w:lineRule="exact"/>
      </w:pPr>
      <w:r>
        <w:rPr>
          <w:rFonts w:hint="eastAsia"/>
        </w:rPr>
        <w:t>1、信息简单地理解为对数据按一定的目的加工处理后得到的结果，这一结果对人们决策行为产生影响。</w:t>
      </w:r>
    </w:p>
    <w:p>
      <w:pPr>
        <w:spacing w:line="400" w:lineRule="exact"/>
      </w:pPr>
      <w:r>
        <w:rPr>
          <w:rFonts w:hint="eastAsia"/>
        </w:rPr>
        <w:t>2、会计信息系统管理是指基层单位开展会计电算化、信息化的一些管理办法、措施和制度的总称。</w:t>
      </w:r>
    </w:p>
    <w:p>
      <w:pPr>
        <w:spacing w:line="400" w:lineRule="exact"/>
        <w:rPr>
          <w:rFonts w:hint="eastAsia"/>
        </w:rPr>
      </w:pPr>
      <w:r>
        <w:rPr>
          <w:rFonts w:hint="eastAsia"/>
        </w:rPr>
        <w:t>3、</w:t>
      </w:r>
    </w:p>
    <w:p>
      <w:pPr>
        <w:spacing w:line="400" w:lineRule="exact"/>
        <w:rPr>
          <w:rFonts w:hint="eastAsia" w:eastAsia="宋体"/>
          <w:lang w:val="en-US" w:eastAsia="zh-CN"/>
        </w:rPr>
      </w:pPr>
      <w:r>
        <w:rPr>
          <w:rFonts w:hint="eastAsia"/>
          <w:lang w:val="en-US" w:eastAsia="zh-CN"/>
        </w:rPr>
        <w:t>4、</w:t>
      </w:r>
    </w:p>
    <w:p>
      <w:pPr>
        <w:spacing w:line="400" w:lineRule="exact"/>
      </w:pPr>
    </w:p>
    <w:p>
      <w:pPr>
        <w:spacing w:line="400" w:lineRule="exact"/>
        <w:rPr>
          <w:rFonts w:ascii="黑体" w:hAnsi="黑体" w:eastAsia="黑体" w:cs="黑体"/>
          <w:sz w:val="24"/>
        </w:rPr>
      </w:pPr>
      <w:r>
        <w:rPr>
          <w:rFonts w:hint="eastAsia" w:ascii="黑体" w:hAnsi="黑体" w:eastAsia="黑体" w:cs="黑体"/>
          <w:sz w:val="24"/>
        </w:rPr>
        <w:t>二、填空题：</w:t>
      </w:r>
    </w:p>
    <w:p>
      <w:pPr>
        <w:spacing w:line="400" w:lineRule="exact"/>
        <w:rPr>
          <w:rFonts w:hAnsi="宋体"/>
          <w:szCs w:val="21"/>
        </w:rPr>
      </w:pPr>
      <w:r>
        <w:rPr>
          <w:rFonts w:hint="eastAsia"/>
        </w:rPr>
        <w:t>1、</w:t>
      </w:r>
      <w:r>
        <w:rPr>
          <w:rFonts w:hint="eastAsia" w:hAnsi="宋体"/>
          <w:szCs w:val="21"/>
        </w:rPr>
        <w:t>输入员、审核员</w:t>
      </w:r>
    </w:p>
    <w:p>
      <w:pPr>
        <w:spacing w:line="400" w:lineRule="exact"/>
        <w:rPr>
          <w:rFonts w:hint="eastAsia"/>
        </w:rPr>
      </w:pPr>
      <w:r>
        <w:rPr>
          <w:rFonts w:hint="eastAsia"/>
        </w:rPr>
        <w:t>2、</w:t>
      </w:r>
    </w:p>
    <w:p>
      <w:pPr>
        <w:spacing w:line="400" w:lineRule="exact"/>
      </w:pPr>
      <w:r>
        <w:rPr>
          <w:rFonts w:hint="eastAsia"/>
        </w:rPr>
        <w:t>3、</w:t>
      </w:r>
    </w:p>
    <w:p>
      <w:pPr>
        <w:spacing w:line="400" w:lineRule="exact"/>
      </w:pPr>
      <w:r>
        <w:rPr>
          <w:rFonts w:hint="eastAsia"/>
        </w:rPr>
        <w:t>4、到达生效规则</w:t>
      </w:r>
    </w:p>
    <w:p>
      <w:pPr>
        <w:spacing w:line="400" w:lineRule="exact"/>
      </w:pPr>
      <w:r>
        <w:rPr>
          <w:rFonts w:hint="eastAsia"/>
        </w:rPr>
        <w:t>5、PDF格式、HTML格式</w:t>
      </w:r>
    </w:p>
    <w:p>
      <w:pPr>
        <w:spacing w:line="400" w:lineRule="exact"/>
      </w:pPr>
    </w:p>
    <w:p>
      <w:pPr>
        <w:spacing w:line="400" w:lineRule="exact"/>
        <w:rPr>
          <w:rFonts w:ascii="黑体" w:hAnsi="黑体" w:eastAsia="黑体" w:cs="黑体"/>
          <w:sz w:val="24"/>
        </w:rPr>
      </w:pPr>
      <w:r>
        <w:rPr>
          <w:rFonts w:hint="eastAsia" w:ascii="黑体" w:hAnsi="黑体" w:eastAsia="黑体" w:cs="黑体"/>
          <w:sz w:val="24"/>
        </w:rPr>
        <w:t>三、简答题：</w:t>
      </w:r>
    </w:p>
    <w:p>
      <w:pPr>
        <w:spacing w:line="400" w:lineRule="exact"/>
      </w:pPr>
      <w:r>
        <w:rPr>
          <w:rFonts w:hint="eastAsia"/>
        </w:rPr>
        <w:t>1、答：系统直接修改的步骤包括：（1）提出修改申请；（2）修改申请的分析；（3）系统修改的实施；（4）系统审批；（5）项目转换。</w:t>
      </w:r>
    </w:p>
    <w:p>
      <w:pPr>
        <w:spacing w:line="400" w:lineRule="exact"/>
      </w:pPr>
      <w:r>
        <w:rPr>
          <w:rFonts w:hint="eastAsia"/>
        </w:rPr>
        <w:t>2、答：会计信息系统存在的风险包括：（1）系统故障风险；（2）电算化系统本身特有的风险；（3）内部人员道德风险；（4）系统关联方道德风险；（5）社会道德风险。</w:t>
      </w:r>
    </w:p>
    <w:p>
      <w:pPr>
        <w:spacing w:line="400" w:lineRule="exact"/>
      </w:pPr>
      <w:r>
        <w:rPr>
          <w:rFonts w:hint="eastAsia"/>
        </w:rPr>
        <w:t>3、答：</w:t>
      </w:r>
    </w:p>
    <w:p>
      <w:pPr>
        <w:spacing w:line="400" w:lineRule="exact"/>
      </w:pPr>
    </w:p>
    <w:p>
      <w:pPr>
        <w:spacing w:line="400" w:lineRule="exact"/>
        <w:rPr>
          <w:rFonts w:ascii="黑体" w:hAnsi="黑体" w:eastAsia="黑体" w:cs="黑体"/>
          <w:sz w:val="24"/>
        </w:rPr>
      </w:pPr>
    </w:p>
    <w:p>
      <w:pPr>
        <w:spacing w:line="400" w:lineRule="exact"/>
        <w:rPr>
          <w:rFonts w:ascii="黑体" w:hAnsi="黑体" w:eastAsia="黑体" w:cs="黑体"/>
          <w:sz w:val="24"/>
        </w:rPr>
      </w:pPr>
    </w:p>
    <w:p>
      <w:pPr>
        <w:spacing w:line="400" w:lineRule="exact"/>
        <w:rPr>
          <w:rFonts w:ascii="黑体" w:hAnsi="黑体" w:eastAsia="黑体" w:cs="黑体"/>
          <w:sz w:val="24"/>
        </w:rPr>
      </w:pPr>
    </w:p>
    <w:p>
      <w:pPr>
        <w:spacing w:line="400" w:lineRule="exact"/>
      </w:pPr>
      <w:r>
        <w:rPr>
          <w:rFonts w:hint="eastAsia" w:ascii="黑体" w:hAnsi="黑体" w:eastAsia="黑体" w:cs="黑体"/>
          <w:sz w:val="24"/>
        </w:rPr>
        <w:t>四、设计题：</w:t>
      </w:r>
    </w:p>
    <w:p>
      <w:pPr>
        <w:pStyle w:val="2"/>
        <w:tabs>
          <w:tab w:val="left" w:pos="840"/>
        </w:tabs>
        <w:spacing w:before="0" w:beforeAutospacing="0" w:after="0" w:afterAutospacing="0" w:line="400" w:lineRule="exact"/>
        <w:jc w:val="both"/>
        <w:rPr>
          <w:sz w:val="21"/>
          <w:szCs w:val="21"/>
        </w:rPr>
      </w:pPr>
      <w:r>
        <w:rPr>
          <w:rFonts w:hint="eastAsia"/>
          <w:sz w:val="21"/>
          <w:szCs w:val="21"/>
        </w:rPr>
        <w:t>答：操作流程：（1）填制一张冲销凭证，冲销收字0008凭证；（2）填制一张正确的记账凭证；（3）将冲销凭证和新的正确的凭证审核；（4）将冲销凭证和新的正确的凭证出纳签字；（5）将冲销凭证和新的正确的凭证记账。</w:t>
      </w:r>
    </w:p>
    <w:p>
      <w:pPr>
        <w:spacing w:line="400" w:lineRule="exact"/>
        <w:rPr>
          <w:rFonts w:ascii="黑体" w:hAnsi="黑体" w:eastAsia="黑体" w:cs="黑体"/>
          <w:sz w:val="24"/>
        </w:rPr>
      </w:pPr>
    </w:p>
    <w:p>
      <w:pPr>
        <w:spacing w:line="400" w:lineRule="exact"/>
        <w:rPr>
          <w:rFonts w:ascii="黑体" w:hAnsi="黑体" w:eastAsia="黑体" w:cs="黑体"/>
          <w:sz w:val="24"/>
        </w:rPr>
      </w:pPr>
      <w:r>
        <w:rPr>
          <w:rFonts w:hint="eastAsia" w:ascii="黑体" w:hAnsi="黑体" w:eastAsia="黑体" w:cs="黑体"/>
          <w:sz w:val="24"/>
        </w:rPr>
        <w:t>五、案例分析题：</w:t>
      </w:r>
    </w:p>
    <w:p>
      <w:pPr>
        <w:widowControl/>
        <w:spacing w:line="400" w:lineRule="exact"/>
        <w:rPr>
          <w:szCs w:val="21"/>
        </w:rPr>
      </w:pPr>
      <w:r>
        <w:rPr>
          <w:rFonts w:hint="eastAsia"/>
          <w:szCs w:val="21"/>
        </w:rPr>
        <w:t>案例题必须充分论述</w:t>
      </w:r>
    </w:p>
    <w:p>
      <w:pPr>
        <w:widowControl/>
        <w:spacing w:line="400" w:lineRule="exact"/>
        <w:rPr>
          <w:szCs w:val="21"/>
        </w:rPr>
      </w:pPr>
      <w:r>
        <w:rPr>
          <w:rFonts w:ascii="宋体" w:hAnsi="宋体" w:cs="Arial"/>
          <w:kern w:val="0"/>
          <w:szCs w:val="21"/>
        </w:rPr>
        <w:t>1、</w:t>
      </w:r>
      <w:r>
        <w:rPr>
          <w:rFonts w:hint="eastAsia"/>
          <w:szCs w:val="21"/>
        </w:rPr>
        <w:t>答：（1）库存、批号的管理问题；（2）销售数据的统计问题；（3）业务和财务协同问题。</w:t>
      </w:r>
    </w:p>
    <w:p>
      <w:pPr>
        <w:widowControl/>
        <w:spacing w:line="400" w:lineRule="exact"/>
        <w:rPr>
          <w:rFonts w:ascii="宋体" w:hAnsi="宋体" w:cs="Arial"/>
          <w:kern w:val="0"/>
          <w:szCs w:val="21"/>
        </w:rPr>
      </w:pPr>
      <w:r>
        <w:rPr>
          <w:rFonts w:hint="eastAsia" w:ascii="宋体" w:hAnsi="宋体" w:cs="Arial"/>
          <w:kern w:val="0"/>
          <w:szCs w:val="21"/>
        </w:rPr>
        <w:t>2、</w:t>
      </w:r>
      <w:r>
        <w:rPr>
          <w:rFonts w:hint="eastAsia"/>
          <w:szCs w:val="21"/>
        </w:rPr>
        <w:t>答：</w:t>
      </w:r>
    </w:p>
    <w:p>
      <w:pPr>
        <w:widowControl/>
        <w:spacing w:line="400" w:lineRule="exact"/>
        <w:rPr>
          <w:szCs w:val="21"/>
        </w:rPr>
      </w:pPr>
      <w:r>
        <w:rPr>
          <w:rFonts w:hint="eastAsia" w:ascii="宋体" w:hAnsi="宋体" w:cs="Arial"/>
          <w:kern w:val="0"/>
          <w:szCs w:val="21"/>
        </w:rPr>
        <w:t>3</w:t>
      </w:r>
      <w:r>
        <w:rPr>
          <w:rFonts w:ascii="宋体" w:hAnsi="宋体" w:cs="Arial"/>
          <w:kern w:val="0"/>
          <w:szCs w:val="21"/>
        </w:rPr>
        <w:t>、</w:t>
      </w:r>
      <w:r>
        <w:rPr>
          <w:rFonts w:hint="eastAsia"/>
          <w:szCs w:val="21"/>
        </w:rPr>
        <w:t>答：（1）领导高度重视；（2）前期准备工作充分；（3）确立了明确的系统目标；（4）专业化的实施顾问；（5）分布实施策略；（6）高度重视数据的准确性。</w:t>
      </w:r>
    </w:p>
    <w:p>
      <w:pPr>
        <w:spacing w:line="400" w:lineRule="exact"/>
        <w:rPr>
          <w:b/>
        </w:rPr>
      </w:pPr>
    </w:p>
    <w:p>
      <w:pPr>
        <w:spacing w:line="400" w:lineRule="exact"/>
        <w:rPr>
          <w:rFonts w:ascii="黑体" w:hAnsi="黑体" w:eastAsia="黑体" w:cs="黑体"/>
          <w:sz w:val="24"/>
        </w:rPr>
      </w:pPr>
      <w:r>
        <w:rPr>
          <w:rFonts w:hint="eastAsia" w:ascii="黑体" w:hAnsi="黑体" w:eastAsia="黑体" w:cs="黑体"/>
          <w:sz w:val="24"/>
        </w:rPr>
        <w:t>六、论述题：</w:t>
      </w:r>
    </w:p>
    <w:p>
      <w:pPr>
        <w:spacing w:line="400" w:lineRule="exact"/>
        <w:ind w:right="454"/>
        <w:rPr>
          <w:rFonts w:ascii="Arial" w:hAnsi="Arial" w:cs="Arial"/>
          <w:szCs w:val="21"/>
        </w:rPr>
      </w:pPr>
      <w:r>
        <w:rPr>
          <w:rFonts w:hint="eastAsia" w:ascii="Arial" w:hAnsi="Arial" w:cs="Arial"/>
          <w:szCs w:val="21"/>
        </w:rPr>
        <w:t>答：（1）以BtoC为例，第三方支付的实现流程为：</w:t>
      </w:r>
    </w:p>
    <w:p>
      <w:pPr>
        <w:spacing w:line="400" w:lineRule="exact"/>
        <w:ind w:right="454"/>
        <w:rPr>
          <w:rFonts w:ascii="Arial" w:hAnsi="Arial" w:cs="Arial"/>
          <w:szCs w:val="21"/>
        </w:rPr>
      </w:pPr>
      <w:r>
        <w:rPr>
          <w:rFonts w:hint="eastAsia" w:ascii="宋体" w:hAnsi="宋体" w:cs="宋体"/>
          <w:szCs w:val="21"/>
        </w:rPr>
        <w:t>①</w:t>
      </w:r>
      <w:r>
        <w:rPr>
          <w:rFonts w:ascii="Arial" w:hAnsi="Arial" w:cs="Arial"/>
          <w:szCs w:val="21"/>
        </w:rPr>
        <w:t>客户在电子商务网站上选购商品，最后决定购买，买卖双方在网上达成交易意向；</w:t>
      </w:r>
    </w:p>
    <w:p>
      <w:pPr>
        <w:spacing w:line="400" w:lineRule="exact"/>
        <w:ind w:right="454"/>
        <w:rPr>
          <w:rFonts w:ascii="Arial" w:hAnsi="Arial" w:cs="Arial"/>
          <w:szCs w:val="21"/>
        </w:rPr>
      </w:pPr>
      <w:r>
        <w:rPr>
          <w:rFonts w:hint="eastAsia" w:ascii="宋体" w:hAnsi="宋体" w:cs="宋体"/>
          <w:szCs w:val="21"/>
        </w:rPr>
        <w:t>②</w:t>
      </w:r>
      <w:r>
        <w:rPr>
          <w:rFonts w:ascii="Arial" w:hAnsi="Arial" w:cs="Arial"/>
          <w:szCs w:val="21"/>
        </w:rPr>
        <w:t>客户选择利用第三方作为交易中介，客户用信用卡将货款划到第三方账户；</w:t>
      </w:r>
    </w:p>
    <w:p>
      <w:pPr>
        <w:spacing w:line="400" w:lineRule="exact"/>
        <w:ind w:right="454"/>
        <w:rPr>
          <w:rFonts w:ascii="Arial" w:hAnsi="Arial" w:cs="Arial"/>
          <w:szCs w:val="21"/>
        </w:rPr>
      </w:pPr>
      <w:r>
        <w:rPr>
          <w:rFonts w:hint="eastAsia" w:ascii="宋体" w:hAnsi="宋体" w:cs="宋体"/>
          <w:szCs w:val="21"/>
        </w:rPr>
        <w:t>③</w:t>
      </w:r>
      <w:r>
        <w:rPr>
          <w:rFonts w:ascii="Arial" w:hAnsi="Arial" w:cs="Arial"/>
          <w:szCs w:val="21"/>
        </w:rPr>
        <w:t>第三方支付平台将客户已经付款的消息通知商家，并要求商家在规定时间内发货；</w:t>
      </w:r>
    </w:p>
    <w:p>
      <w:pPr>
        <w:spacing w:line="400" w:lineRule="exact"/>
        <w:ind w:right="454"/>
        <w:rPr>
          <w:rFonts w:ascii="Arial" w:hAnsi="Arial" w:cs="Arial"/>
          <w:szCs w:val="21"/>
        </w:rPr>
      </w:pPr>
      <w:r>
        <w:rPr>
          <w:rFonts w:hint="eastAsia" w:ascii="宋体" w:hAnsi="宋体" w:cs="宋体"/>
          <w:szCs w:val="21"/>
        </w:rPr>
        <w:t>④</w:t>
      </w:r>
      <w:r>
        <w:rPr>
          <w:rFonts w:ascii="Arial" w:hAnsi="Arial" w:cs="Arial"/>
          <w:szCs w:val="21"/>
        </w:rPr>
        <w:t>商家收到通知后按照订单发货；</w:t>
      </w:r>
    </w:p>
    <w:p>
      <w:pPr>
        <w:spacing w:line="400" w:lineRule="exact"/>
        <w:ind w:right="454"/>
        <w:rPr>
          <w:rFonts w:ascii="Arial" w:hAnsi="Arial" w:cs="Arial"/>
          <w:szCs w:val="21"/>
        </w:rPr>
      </w:pPr>
      <w:r>
        <w:rPr>
          <w:rFonts w:hint="eastAsia" w:ascii="宋体" w:hAnsi="宋体" w:cs="宋体"/>
          <w:szCs w:val="21"/>
        </w:rPr>
        <w:t>⑤</w:t>
      </w:r>
      <w:r>
        <w:rPr>
          <w:rFonts w:ascii="Arial" w:hAnsi="Arial" w:cs="Arial"/>
          <w:szCs w:val="21"/>
        </w:rPr>
        <w:t>客户收到货物并验证后通知第三方；</w:t>
      </w:r>
    </w:p>
    <w:p>
      <w:pPr>
        <w:spacing w:line="400" w:lineRule="exact"/>
        <w:ind w:right="454"/>
        <w:rPr>
          <w:rFonts w:ascii="Arial" w:hAnsi="Arial" w:cs="Arial"/>
          <w:szCs w:val="21"/>
        </w:rPr>
      </w:pPr>
      <w:r>
        <w:rPr>
          <w:rFonts w:hint="eastAsia" w:ascii="宋体" w:hAnsi="宋体" w:cs="宋体"/>
          <w:szCs w:val="21"/>
        </w:rPr>
        <w:t>⑥</w:t>
      </w:r>
      <w:r>
        <w:rPr>
          <w:rFonts w:ascii="Arial" w:hAnsi="Arial" w:cs="Arial"/>
          <w:szCs w:val="21"/>
        </w:rPr>
        <w:t>第三方将其账户上的货款划入商家账户中，交易完成。</w:t>
      </w:r>
    </w:p>
    <w:p>
      <w:pPr>
        <w:spacing w:line="400" w:lineRule="exact"/>
        <w:ind w:right="454"/>
        <w:rPr>
          <w:rFonts w:ascii="Arial" w:hAnsi="Arial" w:cs="Arial"/>
          <w:szCs w:val="21"/>
        </w:rPr>
      </w:pPr>
      <w:r>
        <w:rPr>
          <w:rFonts w:hint="eastAsia" w:ascii="Arial" w:hAnsi="Arial" w:cs="Arial"/>
          <w:szCs w:val="21"/>
        </w:rPr>
        <w:t>（2）第三方支付的优点：</w:t>
      </w:r>
    </w:p>
    <w:p>
      <w:pPr>
        <w:widowControl/>
        <w:shd w:val="clear" w:color="auto" w:fill="FAFAFA"/>
        <w:spacing w:line="400" w:lineRule="exact"/>
        <w:jc w:val="left"/>
        <w:rPr>
          <w:rFonts w:ascii="Arial" w:hAnsi="Arial" w:cs="Arial"/>
          <w:kern w:val="0"/>
          <w:szCs w:val="21"/>
        </w:rPr>
      </w:pPr>
      <w:r>
        <w:rPr>
          <w:rFonts w:hint="eastAsia" w:ascii="宋体" w:hAnsi="宋体" w:cs="宋体"/>
          <w:kern w:val="0"/>
          <w:szCs w:val="21"/>
        </w:rPr>
        <w:t>①</w:t>
      </w:r>
      <w:r>
        <w:rPr>
          <w:rFonts w:ascii="Arial" w:hAnsi="Arial" w:cs="Arial"/>
          <w:kern w:val="0"/>
          <w:szCs w:val="21"/>
        </w:rPr>
        <w:t xml:space="preserve">比较安全，信用卡信息或帐户信息仅需要告知支付中介，而无需告诉每一个收款人，大大减少了信用卡信息和账户信息失密的风险；　 </w:t>
      </w:r>
    </w:p>
    <w:p>
      <w:pPr>
        <w:widowControl/>
        <w:shd w:val="clear" w:color="auto" w:fill="FAFAFA"/>
        <w:spacing w:line="400" w:lineRule="exact"/>
        <w:jc w:val="left"/>
        <w:rPr>
          <w:rFonts w:ascii="Arial" w:hAnsi="Arial" w:cs="Arial"/>
          <w:kern w:val="0"/>
          <w:szCs w:val="21"/>
        </w:rPr>
      </w:pPr>
      <w:r>
        <w:rPr>
          <w:rFonts w:hint="eastAsia" w:ascii="宋体" w:hAnsi="宋体" w:cs="宋体"/>
          <w:kern w:val="0"/>
          <w:szCs w:val="21"/>
        </w:rPr>
        <w:t>②</w:t>
      </w:r>
      <w:r>
        <w:rPr>
          <w:rFonts w:ascii="Arial" w:hAnsi="Arial" w:cs="Arial"/>
          <w:kern w:val="0"/>
          <w:szCs w:val="21"/>
        </w:rPr>
        <w:t xml:space="preserve">支付成本较低，支付中介集中了大量的电子小额交易，形成规模效应，因而支付成本较低； </w:t>
      </w:r>
    </w:p>
    <w:p>
      <w:pPr>
        <w:widowControl/>
        <w:shd w:val="clear" w:color="auto" w:fill="FAFAFA"/>
        <w:spacing w:line="400" w:lineRule="exact"/>
        <w:jc w:val="left"/>
        <w:rPr>
          <w:rFonts w:ascii="Arial" w:hAnsi="Arial" w:cs="Arial"/>
          <w:kern w:val="0"/>
          <w:szCs w:val="21"/>
        </w:rPr>
      </w:pPr>
      <w:r>
        <w:rPr>
          <w:rFonts w:hint="eastAsia" w:ascii="宋体" w:hAnsi="宋体" w:cs="宋体"/>
          <w:kern w:val="0"/>
          <w:szCs w:val="21"/>
        </w:rPr>
        <w:t>③</w:t>
      </w:r>
      <w:r>
        <w:rPr>
          <w:rFonts w:ascii="Arial" w:hAnsi="Arial" w:cs="Arial"/>
          <w:kern w:val="0"/>
          <w:szCs w:val="21"/>
        </w:rPr>
        <w:t xml:space="preserve">使用方便。对支付者而言，他所面对的是友好的界面，不必考虑背后复杂的技术操作过程； </w:t>
      </w:r>
    </w:p>
    <w:p>
      <w:pPr>
        <w:spacing w:line="400" w:lineRule="exact"/>
        <w:ind w:right="454"/>
        <w:rPr>
          <w:rFonts w:ascii="Arial" w:hAnsi="Arial" w:cs="Arial"/>
          <w:kern w:val="0"/>
          <w:szCs w:val="21"/>
        </w:rPr>
      </w:pPr>
      <w:r>
        <w:rPr>
          <w:rFonts w:hint="eastAsia" w:ascii="宋体" w:hAnsi="宋体" w:cs="宋体"/>
          <w:kern w:val="0"/>
          <w:szCs w:val="21"/>
        </w:rPr>
        <w:t>④</w:t>
      </w:r>
      <w:r>
        <w:rPr>
          <w:rFonts w:ascii="Arial" w:hAnsi="Arial" w:cs="Arial"/>
          <w:kern w:val="0"/>
          <w:szCs w:val="21"/>
        </w:rPr>
        <w:t>支付担保业务可以在很大程度上保障付款人的利益。</w:t>
      </w:r>
    </w:p>
    <w:p>
      <w:pPr>
        <w:spacing w:line="400" w:lineRule="exact"/>
        <w:ind w:right="454"/>
        <w:rPr>
          <w:rFonts w:ascii="Arial" w:hAnsi="Arial" w:cs="Arial"/>
          <w:szCs w:val="21"/>
        </w:rPr>
      </w:pPr>
      <w:r>
        <w:rPr>
          <w:rFonts w:hint="eastAsia" w:ascii="Arial" w:hAnsi="Arial" w:cs="Arial"/>
          <w:szCs w:val="21"/>
        </w:rPr>
        <w:t>（3）第三方支付的缺点：</w:t>
      </w:r>
    </w:p>
    <w:p>
      <w:pPr>
        <w:widowControl/>
        <w:shd w:val="clear" w:color="auto" w:fill="FAFAFA"/>
        <w:spacing w:line="400" w:lineRule="exact"/>
        <w:jc w:val="left"/>
        <w:rPr>
          <w:rFonts w:ascii="Arial" w:hAnsi="Arial" w:cs="Arial"/>
          <w:kern w:val="0"/>
          <w:szCs w:val="21"/>
        </w:rPr>
      </w:pPr>
      <w:r>
        <w:rPr>
          <w:rFonts w:hint="eastAsia" w:ascii="宋体" w:hAnsi="宋体" w:cs="宋体"/>
          <w:kern w:val="0"/>
          <w:szCs w:val="21"/>
        </w:rPr>
        <w:t>①</w:t>
      </w:r>
      <w:r>
        <w:rPr>
          <w:rFonts w:ascii="Arial" w:hAnsi="Arial" w:cs="Arial"/>
          <w:kern w:val="0"/>
          <w:szCs w:val="21"/>
        </w:rPr>
        <w:t xml:space="preserve">这是一种虚拟支付层的支付模式，需要其它的“实际支付方式”完成实际支付层的操作； </w:t>
      </w:r>
    </w:p>
    <w:p>
      <w:pPr>
        <w:widowControl/>
        <w:shd w:val="clear" w:color="auto" w:fill="FAFAFA"/>
        <w:spacing w:line="400" w:lineRule="exact"/>
        <w:jc w:val="left"/>
        <w:rPr>
          <w:rFonts w:ascii="Arial" w:hAnsi="Arial" w:cs="Arial"/>
          <w:kern w:val="0"/>
          <w:szCs w:val="21"/>
        </w:rPr>
      </w:pPr>
      <w:r>
        <w:rPr>
          <w:rFonts w:hint="eastAsia" w:ascii="宋体" w:hAnsi="宋体" w:cs="宋体"/>
          <w:kern w:val="0"/>
          <w:szCs w:val="21"/>
        </w:rPr>
        <w:t>②</w:t>
      </w:r>
      <w:r>
        <w:rPr>
          <w:rFonts w:ascii="Arial" w:hAnsi="Arial" w:cs="Arial"/>
          <w:kern w:val="0"/>
          <w:szCs w:val="21"/>
        </w:rPr>
        <w:t xml:space="preserve">付款人的银行卡信息将暴露给第三方支付平台，如果这个第三方支付平台的信用度或者保密手段欠佳，将带给付款人相关风险；　 </w:t>
      </w:r>
    </w:p>
    <w:p>
      <w:pPr>
        <w:widowControl/>
        <w:shd w:val="clear" w:color="auto" w:fill="FAFAFA"/>
        <w:spacing w:line="400" w:lineRule="exact"/>
        <w:jc w:val="left"/>
        <w:rPr>
          <w:rFonts w:ascii="Arial" w:hAnsi="Arial" w:cs="Arial"/>
          <w:kern w:val="0"/>
          <w:szCs w:val="21"/>
        </w:rPr>
      </w:pPr>
      <w:r>
        <w:rPr>
          <w:rFonts w:hint="eastAsia" w:ascii="宋体" w:hAnsi="宋体" w:cs="宋体"/>
          <w:kern w:val="0"/>
          <w:szCs w:val="21"/>
        </w:rPr>
        <w:t>③</w:t>
      </w:r>
      <w:r>
        <w:rPr>
          <w:rFonts w:ascii="Arial" w:hAnsi="Arial" w:cs="Arial"/>
          <w:kern w:val="0"/>
          <w:szCs w:val="21"/>
        </w:rPr>
        <w:t xml:space="preserve">第三方结算支付中介的法律地位缺乏规定，一旦该终结破产，消费者所购买的“电子货币”可能成了破产债权，无法得到保障； </w:t>
      </w:r>
    </w:p>
    <w:p>
      <w:pPr>
        <w:spacing w:line="400" w:lineRule="exact"/>
        <w:ind w:right="454"/>
        <w:rPr>
          <w:rFonts w:ascii="Arial" w:hAnsi="Arial" w:cs="Arial"/>
          <w:kern w:val="0"/>
          <w:szCs w:val="21"/>
        </w:rPr>
      </w:pPr>
      <w:r>
        <w:rPr>
          <w:rFonts w:hint="eastAsia" w:ascii="宋体" w:hAnsi="宋体" w:cs="宋体"/>
          <w:kern w:val="0"/>
          <w:szCs w:val="21"/>
        </w:rPr>
        <w:t>④</w:t>
      </w:r>
      <w:r>
        <w:rPr>
          <w:rFonts w:ascii="Arial" w:hAnsi="Arial" w:cs="Arial"/>
          <w:kern w:val="0"/>
          <w:szCs w:val="21"/>
        </w:rPr>
        <w:t>由于有大量资金寄存在支付平台账户内，而第三方平台非金融机构，所以有资金寄存的风险。</w:t>
      </w:r>
    </w:p>
    <w:p>
      <w:pPr>
        <w:spacing w:line="400" w:lineRule="exact"/>
      </w:pPr>
    </w:p>
    <w:p>
      <w:pPr>
        <w:spacing w:line="400" w:lineRule="exact"/>
      </w:pPr>
    </w:p>
    <w:p>
      <w:pPr>
        <w:spacing w:line="400" w:lineRule="exact"/>
      </w:pPr>
    </w:p>
    <w:p>
      <w:pPr>
        <w:spacing w:line="400" w:lineRule="exact"/>
      </w:pPr>
    </w:p>
    <w:p>
      <w:pPr>
        <w:spacing w:line="400" w:lineRule="exact"/>
      </w:pPr>
    </w:p>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decimal"/>
      <w:suff w:val="nothing"/>
      <w:lvlText w:val="（%1）"/>
      <w:lvlJc w:val="left"/>
    </w:lvl>
  </w:abstractNum>
  <w:abstractNum w:abstractNumId="1">
    <w:nsid w:val="0FB81A9F"/>
    <w:multiLevelType w:val="singleLevel"/>
    <w:tmpl w:val="0FB81A9F"/>
    <w:lvl w:ilvl="0" w:tentative="0">
      <w:start w:val="2"/>
      <w:numFmt w:val="decimal"/>
      <w:suff w:val="nothing"/>
      <w:lvlText w:val="%1、"/>
      <w:lvlJc w:val="left"/>
    </w:lvl>
  </w:abstractNum>
  <w:abstractNum w:abstractNumId="2">
    <w:nsid w:val="145CC737"/>
    <w:multiLevelType w:val="singleLevel"/>
    <w:tmpl w:val="145CC737"/>
    <w:lvl w:ilvl="0" w:tentative="0">
      <w:start w:val="2"/>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YyZjU5ODA5OWIyNjQ4NjEwOWZiMDk3MDdiNjY4MTgifQ=="/>
  </w:docVars>
  <w:rsids>
    <w:rsidRoot w:val="7DA510CA"/>
    <w:rsid w:val="0086006A"/>
    <w:rsid w:val="00A61E18"/>
    <w:rsid w:val="00AC09FD"/>
    <w:rsid w:val="055F78E7"/>
    <w:rsid w:val="08421BC2"/>
    <w:rsid w:val="099173FF"/>
    <w:rsid w:val="0AFB6B0E"/>
    <w:rsid w:val="0DBC76E9"/>
    <w:rsid w:val="0F741E5D"/>
    <w:rsid w:val="162A79B4"/>
    <w:rsid w:val="19FB5941"/>
    <w:rsid w:val="1B8B26B1"/>
    <w:rsid w:val="1CF05564"/>
    <w:rsid w:val="1FF377EA"/>
    <w:rsid w:val="249270F6"/>
    <w:rsid w:val="2588485E"/>
    <w:rsid w:val="260F4146"/>
    <w:rsid w:val="279167E2"/>
    <w:rsid w:val="2B7774DC"/>
    <w:rsid w:val="2DDA3789"/>
    <w:rsid w:val="306468DF"/>
    <w:rsid w:val="3284444E"/>
    <w:rsid w:val="34472BE8"/>
    <w:rsid w:val="37244462"/>
    <w:rsid w:val="383F454B"/>
    <w:rsid w:val="38721E1E"/>
    <w:rsid w:val="389A7264"/>
    <w:rsid w:val="39291319"/>
    <w:rsid w:val="3A795A72"/>
    <w:rsid w:val="3B974B3D"/>
    <w:rsid w:val="3D8C0461"/>
    <w:rsid w:val="3DA75B62"/>
    <w:rsid w:val="3ED63EFA"/>
    <w:rsid w:val="433301FF"/>
    <w:rsid w:val="43C035F9"/>
    <w:rsid w:val="479277AF"/>
    <w:rsid w:val="480A0678"/>
    <w:rsid w:val="4AE34469"/>
    <w:rsid w:val="4CE43E7B"/>
    <w:rsid w:val="4D890CE6"/>
    <w:rsid w:val="553D0F91"/>
    <w:rsid w:val="5AEC7963"/>
    <w:rsid w:val="5BD31882"/>
    <w:rsid w:val="5CC275B9"/>
    <w:rsid w:val="5E0271E1"/>
    <w:rsid w:val="61943F6F"/>
    <w:rsid w:val="629F134E"/>
    <w:rsid w:val="63EE2113"/>
    <w:rsid w:val="65283F13"/>
    <w:rsid w:val="655D641C"/>
    <w:rsid w:val="67261F73"/>
    <w:rsid w:val="6D6F74B6"/>
    <w:rsid w:val="725F17E7"/>
    <w:rsid w:val="73654576"/>
    <w:rsid w:val="73E65785"/>
    <w:rsid w:val="783118B5"/>
    <w:rsid w:val="793D39E6"/>
    <w:rsid w:val="7DA510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0"/>
    <w:pPr>
      <w:widowControl/>
      <w:spacing w:before="100" w:beforeAutospacing="1" w:after="100" w:afterAutospacing="1"/>
      <w:jc w:val="left"/>
    </w:pPr>
    <w:rPr>
      <w:rFonts w:ascii="宋体" w:hAnsi="宋体"/>
      <w:kern w:val="0"/>
      <w:sz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1844</Words>
  <Characters>1873</Characters>
  <Lines>14</Lines>
  <Paragraphs>4</Paragraphs>
  <TotalTime>13</TotalTime>
  <ScaleCrop>false</ScaleCrop>
  <LinksUpToDate>false</LinksUpToDate>
  <CharactersWithSpaces>1917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2021-04-23T14:06:00Z</dcterms:created>
  <dc:creator>yang ych</dc:creator>
  <cp:lastModifiedBy>Administrator</cp:lastModifiedBy>
  <dcterms:modified xsi:type="dcterms:W3CDTF">2023-11-24T02:23:18Z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F4195BD7579845CBA6DED8C79DB574B0</vt:lpwstr>
  </property>
</Properties>
</file>