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272003">
      <w:pPr>
        <w:pStyle w:val="2"/>
        <w:bidi w:val="0"/>
        <w:jc w:val="center"/>
        <w:rPr>
          <w:rFonts w:hint="default"/>
          <w:lang w:val="en-US" w:eastAsia="zh-CN"/>
        </w:rPr>
      </w:pPr>
      <w:r>
        <w:rPr>
          <w:rFonts w:hint="eastAsia"/>
          <w:lang w:val="en-US" w:eastAsia="zh-CN"/>
        </w:rPr>
        <w:t>公司治理复习资料</w:t>
      </w:r>
    </w:p>
    <w:p w14:paraId="1C94D669">
      <w:pPr>
        <w:spacing w:line="360" w:lineRule="auto"/>
        <w:rPr>
          <w:rFonts w:hint="eastAsia" w:ascii="宋体" w:hAnsi="宋体" w:eastAsia="宋体" w:cs="宋体"/>
          <w:b/>
          <w:bCs/>
          <w:sz w:val="24"/>
          <w:szCs w:val="24"/>
          <w:lang w:eastAsia="zh-CN"/>
        </w:rPr>
      </w:pPr>
      <w:bookmarkStart w:id="2" w:name="_GoBack"/>
      <w:bookmarkEnd w:id="2"/>
      <w:r>
        <w:rPr>
          <w:rFonts w:hint="eastAsia" w:ascii="宋体" w:hAnsi="宋体" w:eastAsia="宋体" w:cs="宋体"/>
          <w:b/>
          <w:bCs/>
          <w:sz w:val="24"/>
          <w:szCs w:val="24"/>
          <w:lang w:val="en-US" w:eastAsia="zh-CN"/>
        </w:rPr>
        <w:t>单项</w:t>
      </w:r>
      <w:r>
        <w:rPr>
          <w:rFonts w:hint="eastAsia" w:ascii="宋体" w:hAnsi="宋体" w:eastAsia="宋体" w:cs="宋体"/>
          <w:b/>
          <w:bCs/>
          <w:sz w:val="24"/>
          <w:szCs w:val="24"/>
          <w:lang w:eastAsia="zh-CN"/>
        </w:rPr>
        <w:t>选择题</w:t>
      </w:r>
    </w:p>
    <w:p w14:paraId="0F82552D">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1.麦肯锡矩阵分析法认为挤干榨尽多做贡献的区域是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C</w:t>
      </w:r>
      <w:r>
        <w:rPr>
          <w:rFonts w:hint="eastAsia" w:ascii="宋体" w:hAnsi="宋体" w:eastAsia="宋体" w:cs="宋体"/>
          <w:sz w:val="24"/>
          <w:szCs w:val="24"/>
          <w:lang w:eastAsia="zh-CN"/>
        </w:rPr>
        <w:t xml:space="preserve">  ）</w:t>
      </w:r>
    </w:p>
    <w:p w14:paraId="68538B03">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A.明星区</w:t>
      </w:r>
      <w:r>
        <w:rPr>
          <w:rFonts w:hint="eastAsia" w:ascii="宋体" w:hAnsi="宋体" w:eastAsia="宋体" w:cs="宋体"/>
          <w:sz w:val="24"/>
          <w:szCs w:val="24"/>
          <w:lang w:eastAsia="zh-CN"/>
        </w:rPr>
        <w:tab/>
      </w:r>
      <w:r>
        <w:rPr>
          <w:rFonts w:hint="eastAsia" w:ascii="宋体" w:hAnsi="宋体" w:eastAsia="宋体" w:cs="宋体"/>
          <w:sz w:val="24"/>
          <w:szCs w:val="24"/>
          <w:lang w:eastAsia="zh-CN"/>
        </w:rPr>
        <w:t>B.野猫区</w:t>
      </w:r>
      <w:r>
        <w:rPr>
          <w:rFonts w:hint="eastAsia" w:ascii="宋体" w:hAnsi="宋体" w:eastAsia="宋体" w:cs="宋体"/>
          <w:sz w:val="24"/>
          <w:szCs w:val="24"/>
          <w:lang w:eastAsia="zh-CN"/>
        </w:rPr>
        <w:tab/>
      </w:r>
      <w:r>
        <w:rPr>
          <w:rFonts w:hint="eastAsia" w:ascii="宋体" w:hAnsi="宋体" w:eastAsia="宋体" w:cs="宋体"/>
          <w:sz w:val="24"/>
          <w:szCs w:val="24"/>
          <w:lang w:eastAsia="zh-CN"/>
        </w:rPr>
        <w:t>C.现金牛区</w:t>
      </w:r>
      <w:r>
        <w:rPr>
          <w:rFonts w:hint="eastAsia" w:ascii="宋体" w:hAnsi="宋体" w:eastAsia="宋体" w:cs="宋体"/>
          <w:sz w:val="24"/>
          <w:szCs w:val="24"/>
          <w:lang w:eastAsia="zh-CN"/>
        </w:rPr>
        <w:tab/>
      </w:r>
      <w:r>
        <w:rPr>
          <w:rFonts w:hint="eastAsia" w:ascii="宋体" w:hAnsi="宋体" w:eastAsia="宋体" w:cs="宋体"/>
          <w:sz w:val="24"/>
          <w:szCs w:val="24"/>
          <w:lang w:eastAsia="zh-CN"/>
        </w:rPr>
        <w:t>D.瘦狗区</w:t>
      </w:r>
    </w:p>
    <w:p w14:paraId="7BC8BCE9">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2.由依靠企业主要领导者个人进行战略决策，转变为主要依靠企业领导集体和广大员工群众的智慧进行战略决策是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B</w:t>
      </w:r>
      <w:r>
        <w:rPr>
          <w:rFonts w:hint="eastAsia" w:ascii="宋体" w:hAnsi="宋体" w:eastAsia="宋体" w:cs="宋体"/>
          <w:sz w:val="24"/>
          <w:szCs w:val="24"/>
          <w:lang w:eastAsia="zh-CN"/>
        </w:rPr>
        <w:t xml:space="preserve">  ）</w:t>
      </w:r>
    </w:p>
    <w:p w14:paraId="230E0E99">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A.战略决策科学化</w:t>
      </w:r>
      <w:r>
        <w:rPr>
          <w:rFonts w:hint="eastAsia" w:ascii="宋体" w:hAnsi="宋体" w:eastAsia="宋体" w:cs="宋体"/>
          <w:sz w:val="24"/>
          <w:szCs w:val="24"/>
          <w:lang w:eastAsia="zh-CN"/>
        </w:rPr>
        <w:tab/>
      </w:r>
      <w:r>
        <w:rPr>
          <w:rFonts w:hint="eastAsia" w:ascii="宋体" w:hAnsi="宋体" w:eastAsia="宋体" w:cs="宋体"/>
          <w:sz w:val="24"/>
          <w:szCs w:val="24"/>
          <w:lang w:eastAsia="zh-CN"/>
        </w:rPr>
        <w:t>B.战略决策民主化</w:t>
      </w:r>
    </w:p>
    <w:p w14:paraId="4B8F4330">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C.战略决策信息化</w:t>
      </w:r>
      <w:r>
        <w:rPr>
          <w:rFonts w:hint="eastAsia" w:ascii="宋体" w:hAnsi="宋体" w:eastAsia="宋体" w:cs="宋体"/>
          <w:sz w:val="24"/>
          <w:szCs w:val="24"/>
          <w:lang w:eastAsia="zh-CN"/>
        </w:rPr>
        <w:tab/>
      </w:r>
      <w:r>
        <w:rPr>
          <w:rFonts w:hint="eastAsia" w:ascii="宋体" w:hAnsi="宋体" w:eastAsia="宋体" w:cs="宋体"/>
          <w:sz w:val="24"/>
          <w:szCs w:val="24"/>
          <w:lang w:eastAsia="zh-CN"/>
        </w:rPr>
        <w:t>D.战略决策专家化</w:t>
      </w:r>
    </w:p>
    <w:p w14:paraId="5D0E5AB7">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3.某服装公司（属于子公司）不仅开发和生产职业装系列产品，而且开发生产运动服、校服、童装等这实施的产品定位战略是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B</w:t>
      </w:r>
      <w:r>
        <w:rPr>
          <w:rFonts w:hint="eastAsia" w:ascii="宋体" w:hAnsi="宋体" w:eastAsia="宋体" w:cs="宋体"/>
          <w:sz w:val="24"/>
          <w:szCs w:val="24"/>
          <w:lang w:eastAsia="zh-CN"/>
        </w:rPr>
        <w:t xml:space="preserve">  ）</w:t>
      </w:r>
    </w:p>
    <w:p w14:paraId="3EE0A0A4">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A.产品质量战略</w:t>
      </w:r>
      <w:r>
        <w:rPr>
          <w:rFonts w:hint="eastAsia" w:ascii="宋体" w:hAnsi="宋体" w:eastAsia="宋体" w:cs="宋体"/>
          <w:sz w:val="24"/>
          <w:szCs w:val="24"/>
          <w:lang w:eastAsia="zh-CN"/>
        </w:rPr>
        <w:tab/>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B.产品多样化战略方案</w:t>
      </w:r>
    </w:p>
    <w:p w14:paraId="48A6ECEB">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C.产品专业化战略方案</w:t>
      </w:r>
      <w:r>
        <w:rPr>
          <w:rFonts w:hint="eastAsia" w:ascii="宋体" w:hAnsi="宋体" w:eastAsia="宋体" w:cs="宋体"/>
          <w:sz w:val="24"/>
          <w:szCs w:val="24"/>
          <w:lang w:eastAsia="zh-CN"/>
        </w:rPr>
        <w:tab/>
      </w:r>
      <w:r>
        <w:rPr>
          <w:rFonts w:hint="eastAsia" w:ascii="宋体" w:hAnsi="宋体" w:eastAsia="宋体" w:cs="宋体"/>
          <w:sz w:val="24"/>
          <w:szCs w:val="24"/>
          <w:lang w:eastAsia="zh-CN"/>
        </w:rPr>
        <w:t>D.产品规模化战略</w:t>
      </w:r>
    </w:p>
    <w:p w14:paraId="74015963">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4.2001年发布的ISO19011是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 xml:space="preserve"> ）</w:t>
      </w:r>
    </w:p>
    <w:p w14:paraId="1CE6F7C7">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A.《质量和环境管理体系审核指南》</w:t>
      </w:r>
      <w:r>
        <w:rPr>
          <w:rFonts w:hint="eastAsia" w:ascii="宋体" w:hAnsi="宋体" w:eastAsia="宋体" w:cs="宋体"/>
          <w:sz w:val="24"/>
          <w:szCs w:val="24"/>
          <w:lang w:eastAsia="zh-CN"/>
        </w:rPr>
        <w:tab/>
      </w:r>
      <w:r>
        <w:rPr>
          <w:rFonts w:hint="eastAsia" w:ascii="宋体" w:hAnsi="宋体" w:eastAsia="宋体" w:cs="宋体"/>
          <w:sz w:val="24"/>
          <w:szCs w:val="24"/>
          <w:lang w:eastAsia="zh-CN"/>
        </w:rPr>
        <w:t>B.《测量控制系统》</w:t>
      </w:r>
    </w:p>
    <w:p w14:paraId="26EC20C3">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C.《质量管理与质量保证》</w:t>
      </w:r>
      <w:r>
        <w:rPr>
          <w:rFonts w:hint="eastAsia" w:ascii="宋体" w:hAnsi="宋体" w:eastAsia="宋体" w:cs="宋体"/>
          <w:sz w:val="24"/>
          <w:szCs w:val="24"/>
          <w:lang w:eastAsia="zh-CN"/>
        </w:rPr>
        <w:tab/>
      </w:r>
      <w:r>
        <w:rPr>
          <w:rFonts w:hint="eastAsia" w:ascii="宋体" w:hAnsi="宋体" w:eastAsia="宋体" w:cs="宋体"/>
          <w:sz w:val="24"/>
          <w:szCs w:val="24"/>
          <w:lang w:eastAsia="zh-CN"/>
        </w:rPr>
        <w:t>D.《质量管理和质量体系要素指南》</w:t>
      </w:r>
    </w:p>
    <w:p w14:paraId="642AD45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5.创出名牌，走向世界的营销策略是</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D</w:t>
      </w:r>
      <w:r>
        <w:rPr>
          <w:rFonts w:hint="eastAsia" w:ascii="宋体" w:hAnsi="宋体" w:eastAsia="宋体" w:cs="宋体"/>
          <w:sz w:val="24"/>
          <w:szCs w:val="24"/>
          <w:lang w:eastAsia="zh-CN"/>
        </w:rPr>
        <w:t xml:space="preserve">  ）</w:t>
      </w:r>
    </w:p>
    <w:p w14:paraId="112BF624">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A.重复营销</w:t>
      </w:r>
      <w:r>
        <w:rPr>
          <w:rFonts w:hint="eastAsia" w:ascii="宋体" w:hAnsi="宋体" w:eastAsia="宋体" w:cs="宋体"/>
          <w:sz w:val="24"/>
          <w:szCs w:val="24"/>
          <w:lang w:eastAsia="zh-CN"/>
        </w:rPr>
        <w:tab/>
      </w:r>
      <w:r>
        <w:rPr>
          <w:rFonts w:hint="eastAsia" w:ascii="宋体" w:hAnsi="宋体" w:eastAsia="宋体" w:cs="宋体"/>
          <w:sz w:val="24"/>
          <w:szCs w:val="24"/>
          <w:lang w:eastAsia="zh-CN"/>
        </w:rPr>
        <w:t>B.品牌营销</w:t>
      </w:r>
      <w:r>
        <w:rPr>
          <w:rFonts w:hint="eastAsia" w:ascii="宋体" w:hAnsi="宋体" w:eastAsia="宋体" w:cs="宋体"/>
          <w:sz w:val="24"/>
          <w:szCs w:val="24"/>
          <w:lang w:eastAsia="zh-CN"/>
        </w:rPr>
        <w:tab/>
      </w:r>
      <w:r>
        <w:rPr>
          <w:rFonts w:hint="eastAsia" w:ascii="宋体" w:hAnsi="宋体" w:eastAsia="宋体" w:cs="宋体"/>
          <w:sz w:val="24"/>
          <w:szCs w:val="24"/>
          <w:lang w:eastAsia="zh-CN"/>
        </w:rPr>
        <w:t>C.顾客满意营销</w:t>
      </w:r>
      <w:r>
        <w:rPr>
          <w:rFonts w:hint="eastAsia" w:ascii="宋体" w:hAnsi="宋体" w:eastAsia="宋体" w:cs="宋体"/>
          <w:sz w:val="24"/>
          <w:szCs w:val="24"/>
          <w:lang w:eastAsia="zh-CN"/>
        </w:rPr>
        <w:tab/>
      </w:r>
      <w:r>
        <w:rPr>
          <w:rFonts w:hint="eastAsia" w:ascii="宋体" w:hAnsi="宋体" w:eastAsia="宋体" w:cs="宋体"/>
          <w:sz w:val="24"/>
          <w:szCs w:val="24"/>
          <w:lang w:eastAsia="zh-CN"/>
        </w:rPr>
        <w:t>D.关系营销</w:t>
      </w:r>
    </w:p>
    <w:p w14:paraId="1A5F0D1A">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6.不是顾客满意具体体现是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 xml:space="preserve"> ）</w:t>
      </w:r>
    </w:p>
    <w:p w14:paraId="485AF74A">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A.物质满意层</w:t>
      </w:r>
      <w:r>
        <w:rPr>
          <w:rFonts w:hint="eastAsia" w:ascii="宋体" w:hAnsi="宋体" w:eastAsia="宋体" w:cs="宋体"/>
          <w:sz w:val="24"/>
          <w:szCs w:val="24"/>
          <w:lang w:eastAsia="zh-CN"/>
        </w:rPr>
        <w:tab/>
      </w:r>
      <w:r>
        <w:rPr>
          <w:rFonts w:hint="eastAsia" w:ascii="宋体" w:hAnsi="宋体" w:eastAsia="宋体" w:cs="宋体"/>
          <w:sz w:val="24"/>
          <w:szCs w:val="24"/>
          <w:lang w:eastAsia="zh-CN"/>
        </w:rPr>
        <w:t>B.附属满意层</w:t>
      </w:r>
      <w:r>
        <w:rPr>
          <w:rFonts w:hint="eastAsia" w:ascii="宋体" w:hAnsi="宋体" w:eastAsia="宋体" w:cs="宋体"/>
          <w:sz w:val="24"/>
          <w:szCs w:val="24"/>
          <w:lang w:eastAsia="zh-CN"/>
        </w:rPr>
        <w:tab/>
      </w:r>
      <w:r>
        <w:rPr>
          <w:rFonts w:hint="eastAsia" w:ascii="宋体" w:hAnsi="宋体" w:eastAsia="宋体" w:cs="宋体"/>
          <w:sz w:val="24"/>
          <w:szCs w:val="24"/>
          <w:lang w:eastAsia="zh-CN"/>
        </w:rPr>
        <w:t>C.精神满意层</w:t>
      </w:r>
      <w:r>
        <w:rPr>
          <w:rFonts w:hint="eastAsia" w:ascii="宋体" w:hAnsi="宋体" w:eastAsia="宋体" w:cs="宋体"/>
          <w:sz w:val="24"/>
          <w:szCs w:val="24"/>
          <w:lang w:eastAsia="zh-CN"/>
        </w:rPr>
        <w:tab/>
      </w:r>
      <w:r>
        <w:rPr>
          <w:rFonts w:hint="eastAsia" w:ascii="宋体" w:hAnsi="宋体" w:eastAsia="宋体" w:cs="宋体"/>
          <w:sz w:val="24"/>
          <w:szCs w:val="24"/>
          <w:lang w:eastAsia="zh-CN"/>
        </w:rPr>
        <w:t>D.社会满意层</w:t>
      </w:r>
    </w:p>
    <w:p w14:paraId="2BAC9B43">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7.海尔先进发达国家畅销，再进发展中国家，所采取的进入战略是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D</w:t>
      </w:r>
      <w:r>
        <w:rPr>
          <w:rFonts w:hint="eastAsia" w:ascii="宋体" w:hAnsi="宋体" w:eastAsia="宋体" w:cs="宋体"/>
          <w:sz w:val="24"/>
          <w:szCs w:val="24"/>
          <w:lang w:eastAsia="zh-CN"/>
        </w:rPr>
        <w:t>）</w:t>
      </w:r>
    </w:p>
    <w:p w14:paraId="0D1C6F55">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A.采蘑式</w:t>
      </w:r>
      <w:r>
        <w:rPr>
          <w:rFonts w:hint="eastAsia" w:ascii="宋体" w:hAnsi="宋体" w:eastAsia="宋体" w:cs="宋体"/>
          <w:sz w:val="24"/>
          <w:szCs w:val="24"/>
          <w:lang w:eastAsia="zh-CN"/>
        </w:rPr>
        <w:tab/>
      </w:r>
      <w:r>
        <w:rPr>
          <w:rFonts w:hint="eastAsia" w:ascii="宋体" w:hAnsi="宋体" w:eastAsia="宋体" w:cs="宋体"/>
          <w:sz w:val="24"/>
          <w:szCs w:val="24"/>
          <w:lang w:eastAsia="zh-CN"/>
        </w:rPr>
        <w:t>B.滚雪式</w:t>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C</w:t>
      </w:r>
      <w:r>
        <w:rPr>
          <w:rFonts w:hint="eastAsia" w:ascii="宋体" w:hAnsi="宋体" w:eastAsia="宋体" w:cs="宋体"/>
          <w:sz w:val="24"/>
          <w:szCs w:val="24"/>
          <w:lang w:val="en-US" w:eastAsia="zh-CN"/>
        </w:rPr>
        <w:t>.</w:t>
      </w:r>
      <w:r>
        <w:rPr>
          <w:rFonts w:hint="eastAsia" w:ascii="宋体" w:hAnsi="宋体" w:eastAsia="宋体" w:cs="宋体"/>
          <w:sz w:val="24"/>
          <w:szCs w:val="24"/>
          <w:lang w:eastAsia="zh-CN"/>
        </w:rPr>
        <w:t>先易后难式</w:t>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D.先难后易式</w:t>
      </w:r>
    </w:p>
    <w:p w14:paraId="15E1FC0D">
      <w:pPr>
        <w:tabs>
          <w:tab w:val="left" w:pos="2100"/>
          <w:tab w:val="left" w:pos="4200"/>
          <w:tab w:val="left" w:pos="6300"/>
        </w:tabs>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8.按进入市场难度不同，国际市场的进入策略包括有（  </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 xml:space="preserve"> ）</w:t>
      </w:r>
    </w:p>
    <w:p w14:paraId="40ACE668">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A.先易后难式</w:t>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B.先难后易式</w:t>
      </w:r>
      <w:r>
        <w:rPr>
          <w:rFonts w:hint="eastAsia" w:ascii="宋体" w:hAnsi="宋体" w:eastAsia="宋体" w:cs="宋体"/>
          <w:sz w:val="24"/>
          <w:szCs w:val="24"/>
          <w:lang w:eastAsia="zh-CN"/>
        </w:rPr>
        <w:tab/>
      </w:r>
      <w:r>
        <w:rPr>
          <w:rFonts w:hint="eastAsia" w:ascii="宋体" w:hAnsi="宋体" w:eastAsia="宋体" w:cs="宋体"/>
          <w:sz w:val="24"/>
          <w:szCs w:val="24"/>
          <w:lang w:eastAsia="zh-CN"/>
        </w:rPr>
        <w:t>C.先远后近式</w:t>
      </w:r>
      <w:r>
        <w:rPr>
          <w:rFonts w:hint="eastAsia" w:ascii="宋体" w:hAnsi="宋体" w:eastAsia="宋体" w:cs="宋体"/>
          <w:sz w:val="24"/>
          <w:szCs w:val="24"/>
          <w:lang w:eastAsia="zh-CN"/>
        </w:rPr>
        <w:tab/>
      </w:r>
      <w:r>
        <w:rPr>
          <w:rFonts w:hint="eastAsia" w:ascii="宋体" w:hAnsi="宋体" w:eastAsia="宋体" w:cs="宋体"/>
          <w:sz w:val="24"/>
          <w:szCs w:val="24"/>
          <w:lang w:eastAsia="zh-CN"/>
        </w:rPr>
        <w:t>D.滚雪球式</w:t>
      </w:r>
    </w:p>
    <w:p w14:paraId="5850B459">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9.流程管理的核心是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B</w:t>
      </w:r>
      <w:r>
        <w:rPr>
          <w:rFonts w:hint="eastAsia" w:ascii="宋体" w:hAnsi="宋体" w:eastAsia="宋体" w:cs="宋体"/>
          <w:sz w:val="24"/>
          <w:szCs w:val="24"/>
          <w:lang w:eastAsia="zh-CN"/>
        </w:rPr>
        <w:t xml:space="preserve">  ）</w:t>
      </w:r>
    </w:p>
    <w:p w14:paraId="5186925B">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A.流程规范化</w:t>
      </w:r>
      <w:r>
        <w:rPr>
          <w:rFonts w:hint="eastAsia" w:ascii="宋体" w:hAnsi="宋体" w:eastAsia="宋体" w:cs="宋体"/>
          <w:sz w:val="24"/>
          <w:szCs w:val="24"/>
          <w:lang w:eastAsia="zh-CN"/>
        </w:rPr>
        <w:tab/>
      </w:r>
      <w:r>
        <w:rPr>
          <w:rFonts w:hint="eastAsia" w:ascii="宋体" w:hAnsi="宋体" w:eastAsia="宋体" w:cs="宋体"/>
          <w:sz w:val="24"/>
          <w:szCs w:val="24"/>
          <w:lang w:eastAsia="zh-CN"/>
        </w:rPr>
        <w:t>B.流程改进</w:t>
      </w:r>
      <w:r>
        <w:rPr>
          <w:rFonts w:hint="eastAsia" w:ascii="宋体" w:hAnsi="宋体" w:eastAsia="宋体" w:cs="宋体"/>
          <w:sz w:val="24"/>
          <w:szCs w:val="24"/>
          <w:lang w:eastAsia="zh-CN"/>
        </w:rPr>
        <w:tab/>
      </w:r>
      <w:r>
        <w:rPr>
          <w:rFonts w:hint="eastAsia" w:ascii="宋体" w:hAnsi="宋体" w:eastAsia="宋体" w:cs="宋体"/>
          <w:sz w:val="24"/>
          <w:szCs w:val="24"/>
          <w:lang w:eastAsia="zh-CN"/>
        </w:rPr>
        <w:t>C.内容规范化</w:t>
      </w:r>
      <w:r>
        <w:rPr>
          <w:rFonts w:hint="eastAsia" w:ascii="宋体" w:hAnsi="宋体" w:eastAsia="宋体" w:cs="宋体"/>
          <w:sz w:val="24"/>
          <w:szCs w:val="24"/>
          <w:lang w:eastAsia="zh-CN"/>
        </w:rPr>
        <w:tab/>
      </w:r>
      <w:r>
        <w:rPr>
          <w:rFonts w:hint="eastAsia" w:ascii="宋体" w:hAnsi="宋体" w:eastAsia="宋体" w:cs="宋体"/>
          <w:sz w:val="24"/>
          <w:szCs w:val="24"/>
          <w:lang w:eastAsia="zh-CN"/>
        </w:rPr>
        <w:t>D.设计规范化</w:t>
      </w:r>
    </w:p>
    <w:p w14:paraId="7D1EE6A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0.属于企业基本制度的是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 xml:space="preserve"> ）</w:t>
      </w:r>
    </w:p>
    <w:p w14:paraId="41D1C256">
      <w:pPr>
        <w:tabs>
          <w:tab w:val="left" w:pos="2100"/>
          <w:tab w:val="left" w:pos="4200"/>
          <w:tab w:val="left" w:pos="630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A.厂长负责制</w:t>
      </w:r>
      <w:r>
        <w:rPr>
          <w:rFonts w:hint="eastAsia" w:ascii="宋体" w:hAnsi="宋体" w:eastAsia="宋体" w:cs="宋体"/>
          <w:sz w:val="24"/>
          <w:szCs w:val="24"/>
          <w:lang w:eastAsia="zh-CN"/>
        </w:rPr>
        <w:tab/>
      </w:r>
      <w:r>
        <w:rPr>
          <w:rFonts w:hint="eastAsia" w:ascii="宋体" w:hAnsi="宋体" w:eastAsia="宋体" w:cs="宋体"/>
          <w:sz w:val="24"/>
          <w:szCs w:val="24"/>
          <w:lang w:eastAsia="zh-CN"/>
        </w:rPr>
        <w:t>B.人事制度</w:t>
      </w:r>
      <w:r>
        <w:rPr>
          <w:rFonts w:hint="eastAsia" w:ascii="宋体" w:hAnsi="宋体" w:eastAsia="宋体" w:cs="宋体"/>
          <w:sz w:val="24"/>
          <w:szCs w:val="24"/>
          <w:lang w:eastAsia="zh-CN"/>
        </w:rPr>
        <w:tab/>
      </w:r>
      <w:r>
        <w:rPr>
          <w:rFonts w:hint="eastAsia" w:ascii="宋体" w:hAnsi="宋体" w:eastAsia="宋体" w:cs="宋体"/>
          <w:sz w:val="24"/>
          <w:szCs w:val="24"/>
          <w:lang w:eastAsia="zh-CN"/>
        </w:rPr>
        <w:t>C.财务制度</w:t>
      </w:r>
      <w:r>
        <w:rPr>
          <w:rFonts w:hint="eastAsia" w:ascii="宋体" w:hAnsi="宋体" w:eastAsia="宋体" w:cs="宋体"/>
          <w:sz w:val="24"/>
          <w:szCs w:val="24"/>
          <w:lang w:eastAsia="zh-CN"/>
        </w:rPr>
        <w:tab/>
      </w:r>
      <w:r>
        <w:rPr>
          <w:rFonts w:hint="eastAsia" w:ascii="宋体" w:hAnsi="宋体" w:eastAsia="宋体" w:cs="宋体"/>
          <w:sz w:val="24"/>
          <w:szCs w:val="24"/>
          <w:lang w:eastAsia="zh-CN"/>
        </w:rPr>
        <w:t>D.生产制度</w:t>
      </w:r>
    </w:p>
    <w:p w14:paraId="1EA1357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1、公司治理结构的全球趋同化趋势的基本原因是（　</w:t>
      </w:r>
      <w:r>
        <w:rPr>
          <w:rFonts w:hint="eastAsia" w:ascii="宋体" w:hAnsi="宋体" w:eastAsia="宋体" w:cs="宋体"/>
          <w:sz w:val="24"/>
          <w:szCs w:val="24"/>
          <w:lang w:val="en-US" w:eastAsia="zh-CN"/>
        </w:rPr>
        <w:t>B</w:t>
      </w:r>
      <w:r>
        <w:rPr>
          <w:rFonts w:hint="eastAsia" w:ascii="宋体" w:hAnsi="宋体" w:eastAsia="宋体" w:cs="宋体"/>
          <w:sz w:val="24"/>
          <w:szCs w:val="24"/>
          <w:lang w:eastAsia="zh-CN"/>
        </w:rPr>
        <w:t>　）。</w:t>
      </w:r>
    </w:p>
    <w:p w14:paraId="1C975BCC">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A、经济大发展          B、市场全球化</w:t>
      </w:r>
    </w:p>
    <w:p w14:paraId="5FE6C133">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C、信息化的发展        D、竞争白热化</w:t>
      </w:r>
    </w:p>
    <w:p w14:paraId="37660355">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2、围绕着保护公司利益相关者利益这一主题，西方学者对公司治理的内涵有三种理解，但不包括（　</w:t>
      </w:r>
      <w:r>
        <w:rPr>
          <w:rFonts w:hint="eastAsia" w:ascii="宋体" w:hAnsi="宋体" w:eastAsia="宋体" w:cs="宋体"/>
          <w:sz w:val="24"/>
          <w:szCs w:val="24"/>
          <w:lang w:val="en-US" w:eastAsia="zh-CN"/>
        </w:rPr>
        <w:t>D</w:t>
      </w:r>
      <w:r>
        <w:rPr>
          <w:rFonts w:hint="eastAsia" w:ascii="宋体" w:hAnsi="宋体" w:eastAsia="宋体" w:cs="宋体"/>
          <w:sz w:val="24"/>
          <w:szCs w:val="24"/>
          <w:lang w:eastAsia="zh-CN"/>
        </w:rPr>
        <w:t>　）。</w:t>
      </w:r>
    </w:p>
    <w:p w14:paraId="30C132E1">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A、利益相关者控制经营管理者论</w:t>
      </w:r>
    </w:p>
    <w:p w14:paraId="4F6C240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B、控制经营管理者论</w:t>
      </w:r>
    </w:p>
    <w:p w14:paraId="212AF709">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C、对经营者激励论</w:t>
      </w:r>
    </w:p>
    <w:p w14:paraId="6CC66AD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D、股东、董事和经理人关系论</w:t>
      </w:r>
    </w:p>
    <w:p w14:paraId="704C025A">
      <w:pPr>
        <w:spacing w:line="360" w:lineRule="auto"/>
        <w:rPr>
          <w:rFonts w:hint="eastAsia" w:ascii="宋体" w:hAnsi="宋体" w:eastAsia="宋体" w:cs="宋体"/>
          <w:sz w:val="24"/>
          <w:szCs w:val="24"/>
          <w:lang w:eastAsia="zh-CN"/>
        </w:rPr>
        <w:sectPr>
          <w:footerReference r:id="rId3" w:type="default"/>
          <w:type w:val="continuous"/>
          <w:pgSz w:w="11906" w:h="16838"/>
          <w:pgMar w:top="1440" w:right="1800" w:bottom="1440" w:left="1800" w:header="851" w:footer="992" w:gutter="0"/>
          <w:cols w:space="425" w:num="1"/>
          <w:docGrid w:type="lines" w:linePitch="312" w:charSpace="0"/>
        </w:sectPr>
      </w:pPr>
    </w:p>
    <w:p w14:paraId="145A66DB">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3、公司治理的理论基石是（　</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　）。</w:t>
      </w:r>
    </w:p>
    <w:p w14:paraId="02808716">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A、企业产权理论</w:t>
      </w:r>
    </w:p>
    <w:p w14:paraId="6F98530E">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B、交易费用经济学理论</w:t>
      </w:r>
    </w:p>
    <w:p w14:paraId="5273A314">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C、企业理论</w:t>
      </w:r>
    </w:p>
    <w:p w14:paraId="55508DAE">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D、企业激励理论</w:t>
      </w:r>
    </w:p>
    <w:p w14:paraId="4977AB94">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4、公司治理需要解决的第一问题是（　</w:t>
      </w:r>
      <w:r>
        <w:rPr>
          <w:rFonts w:hint="eastAsia" w:ascii="宋体" w:hAnsi="宋体" w:eastAsia="宋体" w:cs="宋体"/>
          <w:sz w:val="24"/>
          <w:szCs w:val="24"/>
          <w:lang w:val="en-US" w:eastAsia="zh-CN"/>
        </w:rPr>
        <w:t>A</w:t>
      </w:r>
      <w:r>
        <w:rPr>
          <w:rFonts w:hint="eastAsia" w:ascii="宋体" w:hAnsi="宋体" w:eastAsia="宋体" w:cs="宋体"/>
          <w:sz w:val="24"/>
          <w:szCs w:val="24"/>
          <w:lang w:eastAsia="zh-CN"/>
        </w:rPr>
        <w:t>　）。</w:t>
      </w:r>
    </w:p>
    <w:p w14:paraId="1DC43931">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A、所有者和经营者之间的委托代理问题</w:t>
      </w:r>
    </w:p>
    <w:p w14:paraId="5147EE72">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B、所有者和经营者之间的控制问题</w:t>
      </w:r>
    </w:p>
    <w:p w14:paraId="6A1B7DD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C、股东与经理人之间的激励关系问题</w:t>
      </w:r>
    </w:p>
    <w:p w14:paraId="6822AD1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D、所有者和债权人之间的债务关系问题</w:t>
      </w:r>
    </w:p>
    <w:p w14:paraId="6BC8059D">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 xml:space="preserve">5、在信息披露制度中，信息透明度的核心不包括（ </w:t>
      </w:r>
      <w:r>
        <w:rPr>
          <w:rFonts w:hint="eastAsia" w:ascii="宋体" w:hAnsi="宋体" w:eastAsia="宋体" w:cs="宋体"/>
          <w:sz w:val="24"/>
          <w:szCs w:val="24"/>
          <w:lang w:val="en-US" w:eastAsia="zh-CN"/>
        </w:rPr>
        <w:t>D</w:t>
      </w:r>
      <w:r>
        <w:rPr>
          <w:rFonts w:hint="eastAsia" w:ascii="宋体" w:hAnsi="宋体" w:eastAsia="宋体" w:cs="宋体"/>
          <w:sz w:val="24"/>
          <w:szCs w:val="24"/>
          <w:lang w:eastAsia="zh-CN"/>
        </w:rPr>
        <w:t xml:space="preserve">   ）。</w:t>
      </w:r>
    </w:p>
    <w:p w14:paraId="4180FA9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A、真实性        B、及时性</w:t>
      </w:r>
    </w:p>
    <w:p w14:paraId="21210E67">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C、完整性        D、科学性</w:t>
      </w:r>
    </w:p>
    <w:p w14:paraId="419397B1">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多项选择题</w:t>
      </w:r>
    </w:p>
    <w:p w14:paraId="0FEE9E49">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1.战略管理的主要特点有</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ACE</w:t>
      </w:r>
      <w:r>
        <w:rPr>
          <w:rFonts w:hint="eastAsia" w:ascii="宋体" w:hAnsi="宋体" w:eastAsia="宋体" w:cs="宋体"/>
          <w:sz w:val="24"/>
          <w:szCs w:val="24"/>
          <w:lang w:eastAsia="zh-CN"/>
        </w:rPr>
        <w:t xml:space="preserve"> ）</w:t>
      </w:r>
    </w:p>
    <w:p w14:paraId="4969CA67">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A.全程性</w:t>
      </w:r>
      <w:r>
        <w:rPr>
          <w:rFonts w:hint="eastAsia" w:ascii="宋体" w:hAnsi="宋体" w:eastAsia="宋体" w:cs="宋体"/>
          <w:sz w:val="24"/>
          <w:szCs w:val="24"/>
          <w:lang w:eastAsia="zh-CN"/>
        </w:rPr>
        <w:tab/>
      </w:r>
      <w:r>
        <w:rPr>
          <w:rFonts w:hint="eastAsia" w:ascii="宋体" w:hAnsi="宋体" w:eastAsia="宋体" w:cs="宋体"/>
          <w:sz w:val="24"/>
          <w:szCs w:val="24"/>
          <w:lang w:eastAsia="zh-CN"/>
        </w:rPr>
        <w:t>B.确定性</w:t>
      </w:r>
      <w:r>
        <w:rPr>
          <w:rFonts w:hint="eastAsia" w:ascii="宋体" w:hAnsi="宋体" w:eastAsia="宋体" w:cs="宋体"/>
          <w:sz w:val="24"/>
          <w:szCs w:val="24"/>
          <w:lang w:eastAsia="zh-CN"/>
        </w:rPr>
        <w:tab/>
      </w:r>
      <w:r>
        <w:rPr>
          <w:rFonts w:hint="eastAsia" w:ascii="宋体" w:hAnsi="宋体" w:eastAsia="宋体" w:cs="宋体"/>
          <w:sz w:val="24"/>
          <w:szCs w:val="24"/>
          <w:lang w:eastAsia="zh-CN"/>
        </w:rPr>
        <w:t>C.未来性</w:t>
      </w:r>
      <w:r>
        <w:rPr>
          <w:rFonts w:hint="eastAsia" w:ascii="宋体" w:hAnsi="宋体" w:eastAsia="宋体" w:cs="宋体"/>
          <w:sz w:val="24"/>
          <w:szCs w:val="24"/>
          <w:lang w:eastAsia="zh-CN"/>
        </w:rPr>
        <w:tab/>
      </w:r>
    </w:p>
    <w:p w14:paraId="16AE6988">
      <w:pPr>
        <w:tabs>
          <w:tab w:val="left" w:pos="2520"/>
          <w:tab w:val="left" w:pos="5040"/>
        </w:tabs>
        <w:spacing w:line="360" w:lineRule="auto"/>
        <w:ind w:left="0" w:leftChars="0" w:firstLine="218" w:firstLineChars="91"/>
        <w:rPr>
          <w:rFonts w:hint="eastAsia" w:ascii="宋体" w:hAnsi="宋体" w:eastAsia="宋体" w:cs="宋体"/>
          <w:sz w:val="24"/>
          <w:szCs w:val="24"/>
        </w:rPr>
      </w:pPr>
      <w:r>
        <w:rPr>
          <w:rFonts w:hint="eastAsia" w:ascii="宋体" w:hAnsi="宋体" w:eastAsia="宋体" w:cs="宋体"/>
          <w:sz w:val="24"/>
          <w:szCs w:val="24"/>
          <w:lang w:eastAsia="zh-CN"/>
        </w:rPr>
        <w:t>D.阶段性</w:t>
      </w:r>
      <w:r>
        <w:rPr>
          <w:rFonts w:hint="eastAsia" w:ascii="宋体" w:hAnsi="宋体" w:eastAsia="宋体" w:cs="宋体"/>
          <w:sz w:val="24"/>
          <w:szCs w:val="24"/>
          <w:lang w:val="en-US" w:eastAsia="zh-CN"/>
        </w:rPr>
        <w:tab/>
      </w:r>
      <w:r>
        <w:rPr>
          <w:rFonts w:hint="eastAsia" w:ascii="宋体" w:hAnsi="宋体" w:eastAsia="宋体" w:cs="宋体"/>
          <w:sz w:val="24"/>
          <w:szCs w:val="24"/>
        </w:rPr>
        <w:t>E.高层性</w:t>
      </w:r>
    </w:p>
    <w:p w14:paraId="692379A4">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2.我国机械制造企业的生产类型通常划分为</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ABC</w:t>
      </w:r>
      <w:r>
        <w:rPr>
          <w:rFonts w:hint="eastAsia" w:ascii="宋体" w:hAnsi="宋体" w:eastAsia="宋体" w:cs="宋体"/>
          <w:sz w:val="24"/>
          <w:szCs w:val="24"/>
          <w:lang w:eastAsia="zh-CN"/>
        </w:rPr>
        <w:t xml:space="preserve">  ）</w:t>
      </w:r>
    </w:p>
    <w:p w14:paraId="30FD4479">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A.大量生产</w:t>
      </w:r>
      <w:r>
        <w:rPr>
          <w:rFonts w:hint="eastAsia" w:ascii="宋体" w:hAnsi="宋体" w:eastAsia="宋体" w:cs="宋体"/>
          <w:sz w:val="24"/>
          <w:szCs w:val="24"/>
          <w:lang w:eastAsia="zh-CN"/>
        </w:rPr>
        <w:tab/>
      </w:r>
      <w:r>
        <w:rPr>
          <w:rFonts w:hint="eastAsia" w:ascii="宋体" w:hAnsi="宋体" w:eastAsia="宋体" w:cs="宋体"/>
          <w:sz w:val="24"/>
          <w:szCs w:val="24"/>
          <w:lang w:eastAsia="zh-CN"/>
        </w:rPr>
        <w:t>B.成批生产</w:t>
      </w:r>
      <w:r>
        <w:rPr>
          <w:rFonts w:hint="eastAsia" w:ascii="宋体" w:hAnsi="宋体" w:eastAsia="宋体" w:cs="宋体"/>
          <w:sz w:val="24"/>
          <w:szCs w:val="24"/>
          <w:lang w:eastAsia="zh-CN"/>
        </w:rPr>
        <w:tab/>
      </w:r>
      <w:r>
        <w:rPr>
          <w:rFonts w:hint="eastAsia" w:ascii="宋体" w:hAnsi="宋体" w:eastAsia="宋体" w:cs="宋体"/>
          <w:sz w:val="24"/>
          <w:szCs w:val="24"/>
          <w:lang w:eastAsia="zh-CN"/>
        </w:rPr>
        <w:t>C.单件生产</w:t>
      </w:r>
    </w:p>
    <w:p w14:paraId="4B6B1219">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D.连续生产</w:t>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E.间断生产</w:t>
      </w:r>
    </w:p>
    <w:p w14:paraId="6761CC6F">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3.企业制造过程质量活动要做的工作有</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BCDE</w:t>
      </w:r>
      <w:r>
        <w:rPr>
          <w:rFonts w:hint="eastAsia" w:ascii="宋体" w:hAnsi="宋体" w:eastAsia="宋体" w:cs="宋体"/>
          <w:sz w:val="24"/>
          <w:szCs w:val="24"/>
          <w:lang w:eastAsia="zh-CN"/>
        </w:rPr>
        <w:t xml:space="preserve">  ）</w:t>
      </w:r>
    </w:p>
    <w:p w14:paraId="590C79A2">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A.设计调整生产线</w:t>
      </w:r>
      <w:r>
        <w:rPr>
          <w:rFonts w:hint="eastAsia" w:ascii="宋体" w:hAnsi="宋体" w:eastAsia="宋体" w:cs="宋体"/>
          <w:sz w:val="24"/>
          <w:szCs w:val="24"/>
          <w:lang w:eastAsia="zh-CN"/>
        </w:rPr>
        <w:tab/>
      </w:r>
      <w:r>
        <w:rPr>
          <w:rFonts w:hint="eastAsia" w:ascii="宋体" w:hAnsi="宋体" w:eastAsia="宋体" w:cs="宋体"/>
          <w:sz w:val="24"/>
          <w:szCs w:val="24"/>
          <w:lang w:eastAsia="zh-CN"/>
        </w:rPr>
        <w:t>B.组织好质量检验</w:t>
      </w:r>
      <w:r>
        <w:rPr>
          <w:rFonts w:hint="eastAsia" w:ascii="宋体" w:hAnsi="宋体" w:eastAsia="宋体" w:cs="宋体"/>
          <w:sz w:val="24"/>
          <w:szCs w:val="24"/>
          <w:lang w:eastAsia="zh-CN"/>
        </w:rPr>
        <w:tab/>
      </w:r>
      <w:r>
        <w:rPr>
          <w:rFonts w:hint="eastAsia" w:ascii="宋体" w:hAnsi="宋体" w:eastAsia="宋体" w:cs="宋体"/>
          <w:sz w:val="24"/>
          <w:szCs w:val="24"/>
          <w:lang w:eastAsia="zh-CN"/>
        </w:rPr>
        <w:t>C.加强工艺管理</w:t>
      </w:r>
    </w:p>
    <w:p w14:paraId="16D8615C">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D.掌握质量动态</w:t>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E.加强不合格品管理和工序质量控制</w:t>
      </w:r>
    </w:p>
    <w:p w14:paraId="4587C7C5">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4.完整的企业文化应包括的内容是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ABE</w:t>
      </w:r>
      <w:r>
        <w:rPr>
          <w:rFonts w:hint="eastAsia" w:ascii="宋体" w:hAnsi="宋体" w:eastAsia="宋体" w:cs="宋体"/>
          <w:sz w:val="24"/>
          <w:szCs w:val="24"/>
          <w:lang w:eastAsia="zh-CN"/>
        </w:rPr>
        <w:t xml:space="preserve">  ）</w:t>
      </w:r>
    </w:p>
    <w:p w14:paraId="33A9EAB5">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A.表层文化</w:t>
      </w:r>
      <w:r>
        <w:rPr>
          <w:rFonts w:hint="eastAsia" w:ascii="宋体" w:hAnsi="宋体" w:eastAsia="宋体" w:cs="宋体"/>
          <w:sz w:val="24"/>
          <w:szCs w:val="24"/>
          <w:lang w:eastAsia="zh-CN"/>
        </w:rPr>
        <w:tab/>
      </w:r>
      <w:r>
        <w:rPr>
          <w:rFonts w:hint="eastAsia" w:ascii="宋体" w:hAnsi="宋体" w:eastAsia="宋体" w:cs="宋体"/>
          <w:sz w:val="24"/>
          <w:szCs w:val="24"/>
          <w:lang w:eastAsia="zh-CN"/>
        </w:rPr>
        <w:t>B.中层文化</w:t>
      </w:r>
      <w:r>
        <w:rPr>
          <w:rFonts w:hint="eastAsia" w:ascii="宋体" w:hAnsi="宋体" w:eastAsia="宋体" w:cs="宋体"/>
          <w:sz w:val="24"/>
          <w:szCs w:val="24"/>
          <w:lang w:eastAsia="zh-CN"/>
        </w:rPr>
        <w:tab/>
      </w:r>
      <w:r>
        <w:rPr>
          <w:rFonts w:hint="eastAsia" w:ascii="宋体" w:hAnsi="宋体" w:eastAsia="宋体" w:cs="宋体"/>
          <w:sz w:val="24"/>
          <w:szCs w:val="24"/>
          <w:lang w:eastAsia="zh-CN"/>
        </w:rPr>
        <w:t>C.基层文化</w:t>
      </w:r>
    </w:p>
    <w:p w14:paraId="25114F8A">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D.上层文化</w:t>
      </w:r>
      <w:r>
        <w:rPr>
          <w:rFonts w:hint="eastAsia" w:ascii="宋体" w:hAnsi="宋体" w:eastAsia="宋体" w:cs="宋体"/>
          <w:sz w:val="24"/>
          <w:szCs w:val="24"/>
          <w:lang w:val="en-US" w:eastAsia="zh-CN"/>
        </w:rPr>
        <w:tab/>
      </w:r>
      <w:r>
        <w:rPr>
          <w:rFonts w:hint="eastAsia" w:ascii="宋体" w:hAnsi="宋体" w:eastAsia="宋体" w:cs="宋体"/>
          <w:sz w:val="24"/>
          <w:szCs w:val="24"/>
          <w:lang w:eastAsia="zh-CN"/>
        </w:rPr>
        <w:t>E.深层文化</w:t>
      </w:r>
    </w:p>
    <w:p w14:paraId="64A2F050">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5.企业购入长期债券进行长期投资，其计价方法是</w:t>
      </w:r>
      <w:r>
        <w:rPr>
          <w:rFonts w:hint="eastAsia" w:ascii="宋体" w:hAnsi="宋体" w:eastAsia="宋体" w:cs="宋体"/>
          <w:sz w:val="24"/>
          <w:szCs w:val="24"/>
          <w:lang w:eastAsia="zh-CN"/>
        </w:rPr>
        <w:t xml:space="preserve">（ </w:t>
      </w:r>
      <w:r>
        <w:rPr>
          <w:rFonts w:hint="eastAsia" w:ascii="宋体" w:hAnsi="宋体" w:eastAsia="宋体" w:cs="宋体"/>
          <w:sz w:val="24"/>
          <w:szCs w:val="24"/>
          <w:lang w:val="en-US" w:eastAsia="zh-CN"/>
        </w:rPr>
        <w:t>CD</w:t>
      </w:r>
      <w:r>
        <w:rPr>
          <w:rFonts w:hint="eastAsia" w:ascii="宋体" w:hAnsi="宋体" w:eastAsia="宋体" w:cs="宋体"/>
          <w:sz w:val="24"/>
          <w:szCs w:val="24"/>
          <w:lang w:eastAsia="zh-CN"/>
        </w:rPr>
        <w:t xml:space="preserve">  ）</w:t>
      </w:r>
    </w:p>
    <w:p w14:paraId="469641A8">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A.按面值计价</w:t>
      </w:r>
      <w:r>
        <w:rPr>
          <w:rFonts w:hint="eastAsia" w:ascii="宋体" w:hAnsi="宋体" w:eastAsia="宋体" w:cs="宋体"/>
          <w:sz w:val="24"/>
          <w:szCs w:val="24"/>
          <w:lang w:eastAsia="zh-CN"/>
        </w:rPr>
        <w:tab/>
      </w:r>
      <w:r>
        <w:rPr>
          <w:rFonts w:hint="eastAsia" w:ascii="宋体" w:hAnsi="宋体" w:eastAsia="宋体" w:cs="宋体"/>
          <w:sz w:val="24"/>
          <w:szCs w:val="24"/>
          <w:lang w:eastAsia="zh-CN"/>
        </w:rPr>
        <w:t>B.按目前市价计价</w:t>
      </w:r>
      <w:r>
        <w:rPr>
          <w:rFonts w:hint="eastAsia" w:ascii="宋体" w:hAnsi="宋体" w:eastAsia="宋体" w:cs="宋体"/>
          <w:sz w:val="24"/>
          <w:szCs w:val="24"/>
          <w:lang w:eastAsia="zh-CN"/>
        </w:rPr>
        <w:tab/>
      </w:r>
      <w:r>
        <w:rPr>
          <w:rFonts w:hint="eastAsia" w:ascii="宋体" w:hAnsi="宋体" w:eastAsia="宋体" w:cs="宋体"/>
          <w:sz w:val="24"/>
          <w:szCs w:val="24"/>
          <w:lang w:eastAsia="zh-CN"/>
        </w:rPr>
        <w:t>C.按购入时实际支付计价</w:t>
      </w:r>
    </w:p>
    <w:p w14:paraId="64E27F91">
      <w:pPr>
        <w:tabs>
          <w:tab w:val="left" w:pos="2520"/>
          <w:tab w:val="left" w:pos="5040"/>
        </w:tabs>
        <w:spacing w:line="360" w:lineRule="auto"/>
        <w:ind w:left="0" w:leftChars="0" w:firstLine="218" w:firstLineChars="91"/>
        <w:rPr>
          <w:rFonts w:hint="eastAsia" w:ascii="宋体" w:hAnsi="宋体" w:eastAsia="宋体" w:cs="宋体"/>
          <w:sz w:val="24"/>
          <w:szCs w:val="24"/>
          <w:lang w:eastAsia="zh-CN"/>
        </w:rPr>
      </w:pPr>
      <w:r>
        <w:rPr>
          <w:rFonts w:hint="eastAsia" w:ascii="宋体" w:hAnsi="宋体" w:eastAsia="宋体" w:cs="宋体"/>
          <w:sz w:val="24"/>
          <w:szCs w:val="24"/>
          <w:lang w:eastAsia="zh-CN"/>
        </w:rPr>
        <w:t>D.在实际支付价款中含有应计利息，应按扣除应计利息后的差额计价</w:t>
      </w:r>
    </w:p>
    <w:p w14:paraId="435A9FE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E.按合同规定计价</w:t>
      </w:r>
    </w:p>
    <w:p w14:paraId="2E5AFD37">
      <w:pPr>
        <w:spacing w:line="360" w:lineRule="auto"/>
        <w:rPr>
          <w:rFonts w:hint="eastAsia" w:ascii="宋体" w:hAnsi="宋体" w:eastAsia="宋体" w:cs="宋体"/>
          <w:sz w:val="24"/>
          <w:szCs w:val="24"/>
          <w:lang w:eastAsia="zh-CN"/>
        </w:rPr>
      </w:pPr>
    </w:p>
    <w:p w14:paraId="22D1E82C">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名词解释</w:t>
      </w:r>
    </w:p>
    <w:p w14:paraId="779966F5">
      <w:pPr>
        <w:spacing w:line="360" w:lineRule="auto"/>
        <w:rPr>
          <w:rFonts w:hint="eastAsia" w:ascii="宋体" w:hAnsi="宋体" w:eastAsia="宋体" w:cs="宋体"/>
          <w:sz w:val="24"/>
          <w:szCs w:val="24"/>
        </w:rPr>
      </w:pPr>
      <w:r>
        <w:rPr>
          <w:rFonts w:hint="eastAsia" w:ascii="宋体" w:hAnsi="宋体" w:eastAsia="宋体" w:cs="宋体"/>
          <w:sz w:val="24"/>
          <w:szCs w:val="24"/>
        </w:rPr>
        <w:t>1.经营方式</w:t>
      </w:r>
    </w:p>
    <w:p w14:paraId="5991601C">
      <w:pPr>
        <w:spacing w:line="360" w:lineRule="auto"/>
        <w:rPr>
          <w:rFonts w:hint="eastAsia" w:ascii="宋体" w:hAnsi="宋体" w:eastAsia="宋体" w:cs="宋体"/>
          <w:sz w:val="24"/>
          <w:szCs w:val="24"/>
        </w:rPr>
      </w:pPr>
      <w:r>
        <w:rPr>
          <w:rFonts w:hint="eastAsia" w:ascii="宋体" w:hAnsi="宋体" w:eastAsia="宋体" w:cs="宋体"/>
          <w:sz w:val="24"/>
          <w:szCs w:val="24"/>
        </w:rPr>
        <w:t>.答：指企业的资产所有者或经营者对生产要素及其生产成果所采取的运营方式，以及在资产所有权与经营权分离情况下，处理所有者、经营者、生产者之间经济关系的运营方式。</w:t>
      </w:r>
    </w:p>
    <w:p w14:paraId="5D2F506B">
      <w:pPr>
        <w:spacing w:line="360" w:lineRule="auto"/>
        <w:rPr>
          <w:rFonts w:hint="eastAsia" w:ascii="宋体" w:hAnsi="宋体" w:eastAsia="宋体" w:cs="宋体"/>
          <w:sz w:val="24"/>
          <w:szCs w:val="24"/>
        </w:rPr>
      </w:pPr>
      <w:r>
        <w:rPr>
          <w:rFonts w:hint="eastAsia" w:ascii="宋体" w:hAnsi="宋体" w:eastAsia="宋体" w:cs="宋体"/>
          <w:sz w:val="24"/>
          <w:szCs w:val="24"/>
        </w:rPr>
        <w:t>2.技术的评价</w:t>
      </w:r>
    </w:p>
    <w:p w14:paraId="44AD655A">
      <w:pPr>
        <w:spacing w:line="360" w:lineRule="auto"/>
        <w:rPr>
          <w:rFonts w:hint="eastAsia" w:ascii="宋体" w:hAnsi="宋体" w:eastAsia="宋体" w:cs="宋体"/>
          <w:sz w:val="24"/>
          <w:szCs w:val="24"/>
        </w:rPr>
      </w:pPr>
      <w:r>
        <w:rPr>
          <w:rFonts w:hint="eastAsia" w:ascii="宋体" w:hAnsi="宋体" w:eastAsia="宋体" w:cs="宋体"/>
          <w:sz w:val="24"/>
          <w:szCs w:val="24"/>
        </w:rPr>
        <w:t>答：指对技术开发的过程及成果，进行全面审查、综合分析和比较鉴别。其目的主要是为新技术的采用、改进、应用和推广提供科学依据。技术的评价是技术开发管理中的一个重要内容，贯穿于整个技术开发全过程。</w:t>
      </w:r>
    </w:p>
    <w:p w14:paraId="47849110">
      <w:pPr>
        <w:spacing w:line="360" w:lineRule="auto"/>
        <w:rPr>
          <w:rFonts w:hint="eastAsia" w:ascii="宋体" w:hAnsi="宋体" w:eastAsia="宋体" w:cs="宋体"/>
          <w:sz w:val="24"/>
          <w:szCs w:val="24"/>
        </w:rPr>
      </w:pPr>
      <w:r>
        <w:rPr>
          <w:rFonts w:hint="eastAsia" w:ascii="宋体" w:hAnsi="宋体" w:eastAsia="宋体" w:cs="宋体"/>
          <w:sz w:val="24"/>
          <w:szCs w:val="24"/>
        </w:rPr>
        <w:t>3.工艺专业化</w:t>
      </w:r>
    </w:p>
    <w:p w14:paraId="54561D51">
      <w:pPr>
        <w:spacing w:line="360" w:lineRule="auto"/>
        <w:rPr>
          <w:rFonts w:hint="eastAsia" w:ascii="宋体" w:hAnsi="宋体" w:eastAsia="宋体" w:cs="宋体"/>
          <w:sz w:val="24"/>
          <w:szCs w:val="24"/>
        </w:rPr>
      </w:pPr>
      <w:r>
        <w:rPr>
          <w:rFonts w:hint="eastAsia" w:ascii="宋体" w:hAnsi="宋体" w:eastAsia="宋体" w:cs="宋体"/>
          <w:sz w:val="24"/>
          <w:szCs w:val="24"/>
        </w:rPr>
        <w:t>答：又称工艺原则，就是按生产工艺性质不同来设置基本生产单位的一种组织形式。</w:t>
      </w:r>
    </w:p>
    <w:p w14:paraId="26246C3A">
      <w:pPr>
        <w:spacing w:line="360" w:lineRule="auto"/>
        <w:rPr>
          <w:rFonts w:hint="eastAsia" w:ascii="宋体" w:hAnsi="宋体" w:eastAsia="宋体" w:cs="宋体"/>
          <w:sz w:val="24"/>
          <w:szCs w:val="24"/>
        </w:rPr>
      </w:pPr>
      <w:r>
        <w:rPr>
          <w:rFonts w:hint="eastAsia" w:ascii="宋体" w:hAnsi="宋体" w:eastAsia="宋体" w:cs="宋体"/>
          <w:sz w:val="24"/>
          <w:szCs w:val="24"/>
        </w:rPr>
        <w:t>4.生产作业计划</w:t>
      </w:r>
    </w:p>
    <w:p w14:paraId="2A2DC700">
      <w:pPr>
        <w:spacing w:line="360" w:lineRule="auto"/>
        <w:rPr>
          <w:rFonts w:hint="eastAsia" w:ascii="宋体" w:hAnsi="宋体" w:eastAsia="宋体" w:cs="宋体"/>
          <w:sz w:val="24"/>
          <w:szCs w:val="24"/>
        </w:rPr>
      </w:pPr>
      <w:r>
        <w:rPr>
          <w:rFonts w:hint="eastAsia" w:ascii="宋体" w:hAnsi="宋体" w:eastAsia="宋体" w:cs="宋体"/>
          <w:sz w:val="24"/>
          <w:szCs w:val="24"/>
        </w:rPr>
        <w:t>答：是生产计划的具体执行计划，它是把企业的全年生产任务，具体分配到各车间、班组以至每个工作地和个人，规定他们在每月、每旬、每周、每日以至每个轮班和小时内的具体生产任务，从而保证按品种、质量、数量、期限和成本完成企业的生产任务。</w:t>
      </w:r>
    </w:p>
    <w:p w14:paraId="68FA7AEB">
      <w:pPr>
        <w:spacing w:line="360" w:lineRule="auto"/>
        <w:rPr>
          <w:rFonts w:hint="eastAsia" w:ascii="宋体" w:hAnsi="宋体" w:eastAsia="宋体" w:cs="宋体"/>
          <w:sz w:val="24"/>
          <w:szCs w:val="24"/>
        </w:rPr>
      </w:pPr>
    </w:p>
    <w:p w14:paraId="2A8948DA">
      <w:pPr>
        <w:spacing w:line="360" w:lineRule="auto"/>
        <w:rPr>
          <w:rFonts w:hint="eastAsia" w:ascii="宋体" w:hAnsi="宋体" w:eastAsia="宋体" w:cs="宋体"/>
          <w:sz w:val="24"/>
          <w:szCs w:val="24"/>
          <w:lang w:eastAsia="zh-CN"/>
        </w:rPr>
      </w:pPr>
      <w:r>
        <w:rPr>
          <w:rFonts w:hint="eastAsia" w:ascii="宋体" w:hAnsi="宋体" w:eastAsia="宋体" w:cs="宋体"/>
          <w:sz w:val="24"/>
          <w:szCs w:val="24"/>
        </w:rPr>
        <w:t>5.波士顿矩阵分析法</w:t>
      </w:r>
      <w:r>
        <w:rPr>
          <w:rFonts w:hint="eastAsia" w:ascii="宋体" w:hAnsi="宋体" w:eastAsia="宋体" w:cs="宋体"/>
          <w:sz w:val="24"/>
          <w:szCs w:val="24"/>
        </w:rPr>
        <w:br w:type="textWrapping"/>
      </w:r>
      <w:r>
        <w:rPr>
          <w:rFonts w:hint="eastAsia" w:ascii="宋体" w:hAnsi="宋体" w:eastAsia="宋体" w:cs="宋体"/>
          <w:sz w:val="24"/>
          <w:szCs w:val="24"/>
        </w:rPr>
        <w:t>答：是指将需求增长率和相对市场占有率作为衡量标准并形成矩阵图形，然后对企业的经营领域进行分析和评价的一种综合方法。</w:t>
      </w:r>
    </w:p>
    <w:p w14:paraId="354BA897">
      <w:pPr>
        <w:spacing w:line="360" w:lineRule="auto"/>
        <w:rPr>
          <w:rFonts w:hint="eastAsia" w:ascii="宋体" w:hAnsi="宋体" w:eastAsia="宋体" w:cs="宋体"/>
          <w:sz w:val="24"/>
          <w:szCs w:val="24"/>
          <w:lang w:eastAsia="zh-CN"/>
        </w:rPr>
        <w:sectPr>
          <w:footerReference r:id="rId4" w:type="default"/>
          <w:type w:val="continuous"/>
          <w:pgSz w:w="11906" w:h="16838"/>
          <w:pgMar w:top="1440" w:right="1800" w:bottom="1440" w:left="1800" w:header="851" w:footer="992" w:gutter="0"/>
          <w:cols w:space="425" w:num="1"/>
          <w:docGrid w:type="lines" w:linePitch="312" w:charSpace="0"/>
        </w:sectPr>
      </w:pPr>
      <w:r>
        <w:rPr>
          <w:rFonts w:hint="eastAsia" w:ascii="宋体" w:hAnsi="宋体" w:eastAsia="宋体" w:cs="宋体"/>
          <w:sz w:val="24"/>
          <w:szCs w:val="24"/>
          <w:lang w:val="en-US" w:eastAsia="zh-CN"/>
        </w:rPr>
        <w:t>6</w:t>
      </w:r>
      <w:r>
        <w:rPr>
          <w:rFonts w:hint="eastAsia" w:ascii="宋体" w:hAnsi="宋体" w:eastAsia="宋体" w:cs="宋体"/>
          <w:sz w:val="24"/>
          <w:szCs w:val="24"/>
          <w:lang w:eastAsia="zh-CN"/>
        </w:rPr>
        <w:t>、投资者利益</w:t>
      </w:r>
    </w:p>
    <w:p w14:paraId="48BB42F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投资者利益是指股东、债权人等投资者在公司中所享有的经济利益和相关权益。</w:t>
      </w:r>
    </w:p>
    <w:p w14:paraId="36D4B5C6">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r>
        <w:rPr>
          <w:rFonts w:hint="eastAsia" w:ascii="宋体" w:hAnsi="宋体" w:eastAsia="宋体" w:cs="宋体"/>
          <w:sz w:val="24"/>
          <w:szCs w:val="24"/>
          <w:lang w:eastAsia="zh-CN"/>
        </w:rPr>
        <w:t>、股票期权</w:t>
      </w:r>
    </w:p>
    <w:p w14:paraId="2AE27FA3">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股票期权是一种激励机制，公司授予经营者在未来一定期限内以预先确定的价格（行权价）购买本公司一定数量股票的权利。</w:t>
      </w:r>
    </w:p>
    <w:p w14:paraId="38AE7477">
      <w:pPr>
        <w:rPr>
          <w:rFonts w:hint="eastAsia" w:ascii="宋体" w:hAnsi="宋体" w:eastAsia="宋体" w:cs="宋体"/>
          <w:sz w:val="24"/>
          <w:szCs w:val="24"/>
          <w:lang w:eastAsia="zh-CN"/>
        </w:rPr>
      </w:pPr>
    </w:p>
    <w:p w14:paraId="7BBD6B59">
      <w:pPr>
        <w:spacing w:line="360" w:lineRule="auto"/>
        <w:rPr>
          <w:rFonts w:hint="eastAsia" w:ascii="宋体" w:hAnsi="宋体" w:eastAsia="宋体" w:cs="宋体"/>
          <w:sz w:val="24"/>
          <w:szCs w:val="24"/>
          <w:lang w:eastAsia="zh-CN"/>
        </w:rPr>
      </w:pPr>
      <w:bookmarkStart w:id="0" w:name="_Hlk99045298"/>
    </w:p>
    <w:p w14:paraId="442E0281">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简答题</w:t>
      </w:r>
    </w:p>
    <w:p w14:paraId="157E31BC">
      <w:pPr>
        <w:spacing w:line="360" w:lineRule="auto"/>
        <w:rPr>
          <w:rFonts w:hint="eastAsia" w:ascii="宋体" w:hAnsi="宋体" w:eastAsia="宋体" w:cs="宋体"/>
          <w:sz w:val="24"/>
          <w:szCs w:val="24"/>
        </w:rPr>
      </w:pPr>
      <w:r>
        <w:rPr>
          <w:rFonts w:hint="eastAsia" w:ascii="宋体" w:hAnsi="宋体" w:eastAsia="宋体" w:cs="宋体"/>
          <w:sz w:val="24"/>
          <w:szCs w:val="24"/>
        </w:rPr>
        <w:t>1.简述制定经营战略的必要性。</w:t>
      </w:r>
    </w:p>
    <w:p w14:paraId="79B41C2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答：（1）适应我国社会主义市场经济发展的要求；（2）迎接国际市场竞争的挑战；（3）优化配置企业资源结构，谋求理想的经济效益；（4）科学安排企业高层工作的要求。</w:t>
      </w:r>
    </w:p>
    <w:p w14:paraId="16CA8F23">
      <w:pPr>
        <w:spacing w:line="360" w:lineRule="auto"/>
        <w:rPr>
          <w:rFonts w:hint="eastAsia"/>
          <w:lang w:eastAsia="zh-CN"/>
        </w:rPr>
      </w:pPr>
    </w:p>
    <w:p w14:paraId="4B86D1F7">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、简述高层管理者的内部约束机制。</w:t>
      </w:r>
    </w:p>
    <w:p w14:paraId="2D553FFF">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答：1）</w:t>
      </w:r>
      <w:r>
        <w:rPr>
          <w:rFonts w:hint="eastAsia" w:ascii="宋体" w:hAnsi="宋体" w:eastAsia="宋体" w:cs="宋体"/>
          <w:sz w:val="24"/>
          <w:szCs w:val="24"/>
          <w:lang w:eastAsia="zh-CN"/>
        </w:rPr>
        <w:t>组织制度约束。公司内部有明确的组织架构和职责分工，高层管理者的权力受到组织制度的规范。例如，董事会、监事会与高层管理者之间有明确的权力界限，高层管理者在决策和经营过程中需遵守公司章程和内部规章制度所规定的程序和权限。</w:t>
      </w:r>
    </w:p>
    <w:p w14:paraId="128D05F9">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管理制度约束。公司内部有完善的管理制度，包括财务管理制度、人事管理制度等。在财务管理方面，高层管理者的资金使用和财务决策受到预算、审计等制度的约束；在人事管理方面，其人事任免和薪酬待遇需符合公司的人力资源政策，防止其随意滥用权力。</w:t>
      </w:r>
    </w:p>
    <w:p w14:paraId="5D6AA95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公司章程约束。公司章程是公司的基本大法，对高层管理者的行为有明确规范。例如，规定了高层管理者的任职资格、职责范围、决策程序等内容，高层管理者必须在公司章程规定的框架内行使权力，确保其行为符合公司和股东的利益。</w:t>
      </w:r>
    </w:p>
    <w:p w14:paraId="4E7C7A32">
      <w:pPr>
        <w:spacing w:line="360" w:lineRule="auto"/>
        <w:rPr>
          <w:rFonts w:hint="eastAsia" w:ascii="宋体" w:hAnsi="宋体" w:eastAsia="宋体" w:cs="宋体"/>
          <w:sz w:val="24"/>
          <w:szCs w:val="24"/>
          <w:lang w:eastAsia="zh-CN"/>
        </w:rPr>
      </w:pPr>
    </w:p>
    <w:p w14:paraId="022CC534">
      <w:pPr>
        <w:rPr>
          <w:rFonts w:hint="eastAsia" w:ascii="宋体" w:hAnsi="宋体" w:eastAsia="宋体" w:cs="宋体"/>
          <w:sz w:val="24"/>
          <w:szCs w:val="24"/>
          <w:lang w:eastAsia="zh-CN"/>
        </w:rPr>
        <w:sectPr>
          <w:footerReference r:id="rId5" w:type="default"/>
          <w:type w:val="continuous"/>
          <w:pgSz w:w="11906" w:h="16838"/>
          <w:pgMar w:top="1440" w:right="1800" w:bottom="1440" w:left="1800" w:header="851" w:footer="992" w:gutter="0"/>
          <w:cols w:space="425" w:num="1"/>
          <w:docGrid w:type="lines" w:linePitch="312" w:charSpace="0"/>
        </w:sectPr>
      </w:pPr>
    </w:p>
    <w:p w14:paraId="067F41EA">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、简述董事会的特征。</w:t>
      </w:r>
    </w:p>
    <w:p w14:paraId="4FEED46D">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答：1）</w:t>
      </w:r>
      <w:r>
        <w:rPr>
          <w:rFonts w:hint="eastAsia" w:ascii="宋体" w:hAnsi="宋体" w:eastAsia="宋体" w:cs="宋体"/>
          <w:sz w:val="24"/>
          <w:szCs w:val="24"/>
          <w:lang w:eastAsia="zh-CN"/>
        </w:rPr>
        <w:t>董事会由股东会选举产生。董事会成员由股东在股东大会上投票选举产生，代表股东利益。</w:t>
      </w:r>
    </w:p>
    <w:p w14:paraId="4B22C770">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董事会是公司的决策机构。董事会负责制定公司的重大战略决策，它对公司的长期发展方向和关键业务决策具有决定权，是公司治理结构中的核心决策主体。</w:t>
      </w:r>
    </w:p>
    <w:p w14:paraId="0D048F81">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董事会集体决策。董事会决策通常采用集体决策方式，通过董事会会议讨论和表决来形成决策。</w:t>
      </w:r>
    </w:p>
    <w:p w14:paraId="658A5966">
      <w:pPr>
        <w:spacing w:line="360" w:lineRule="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董事会对股东会负责。董事会必须向股东会报告工作，接受股东会的监督。</w:t>
      </w:r>
    </w:p>
    <w:p w14:paraId="40876484">
      <w:pPr>
        <w:spacing w:line="360" w:lineRule="auto"/>
        <w:rPr>
          <w:rFonts w:hint="eastAsia" w:ascii="宋体" w:hAnsi="宋体" w:eastAsia="宋体" w:cs="宋体"/>
          <w:sz w:val="24"/>
          <w:szCs w:val="24"/>
          <w:lang w:eastAsia="zh-CN"/>
        </w:rPr>
      </w:pPr>
    </w:p>
    <w:bookmarkEnd w:id="0"/>
    <w:p w14:paraId="6CE1B4C6">
      <w:pPr>
        <w:spacing w:line="360" w:lineRule="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案例分析题</w:t>
      </w:r>
    </w:p>
    <w:p w14:paraId="45F0D9C2">
      <w:pPr>
        <w:spacing w:line="360" w:lineRule="auto"/>
        <w:ind w:firstLine="480" w:firstLineChars="200"/>
        <w:jc w:val="center"/>
        <w:rPr>
          <w:rFonts w:hint="eastAsia" w:ascii="宋体" w:hAnsi="宋体" w:eastAsia="宋体" w:cs="宋体"/>
          <w:sz w:val="24"/>
          <w:szCs w:val="24"/>
          <w:lang w:eastAsia="zh-CN"/>
        </w:rPr>
      </w:pPr>
      <w:bookmarkStart w:id="1" w:name="_Hlk99477450"/>
      <w:r>
        <w:rPr>
          <w:rFonts w:hint="eastAsia" w:ascii="宋体" w:hAnsi="宋体" w:eastAsia="宋体" w:cs="宋体"/>
          <w:sz w:val="24"/>
          <w:szCs w:val="24"/>
          <w:lang w:eastAsia="zh-CN"/>
        </w:rPr>
        <w:t>吉利入股戴姆勒：政府、工会、管理层态度不一</w:t>
      </w:r>
    </w:p>
    <w:p w14:paraId="0A219648">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2018年2月，吉利成为戴姆勒最大股东一事正式对外披露，引发了一连串的关注。德国奥论关注的重点是是否合法合规，以及戴姆勒能给吉利散开多大的门。德国政府并未对此次交易提出任何反对意见，德国政府副新闻发言人乌尔丽克德默尔表示这次收购属于“企业决策”，并且低于《外国投资管理细则》中规定的25%股权的门槛。</w:t>
      </w:r>
    </w:p>
    <w:p w14:paraId="4C800CCD">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戴姆勒内部管理层的态度则更为保守。根据德国法律，理论上在持有接近10%的戴姆勒股份后，吉利方面可以在2018年4月4日的戴姆勒年度会议召开之前寻求一个监事会席位。就在吉利入股戴姆勒消息发布后，被吉利控股集团收购了8.2%股权的沃尔沃集团就发布了声明，宣布沃尔沃汽车CEO汉肯·塞缪尔森将从沃尔沃集团董事会退出，理由就是吉利成为戴姆勒的最大股东，而戴姆勒是沃尔沃集团的主要竞争对手，所以塞缪尔森不会再次竞选进入董事会。</w:t>
      </w:r>
    </w:p>
    <w:p w14:paraId="26A9E180">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戴姆勒工会对于吉利的入股表现出的态度明显乐观积极多了，戴姆勒工会主席迈克尔·布莱希特在几个月前传出吉利有意入股的消息后，就开始做功课，好好研究了一下这家中国企业。迈克尔·布莱希特表示，戴姆勒工会与沃尔沃汽车的员工进行了“密切接触”，得到了关于他们和吉利合作的积极反馈。在与瑞典工会的交流中他感受到，沃尔沃汽车的员工对李书福和吉利汽车的评价不错，也很尊重他们的权益，这让迈克尔，布莱希特感到放心。而在德国，能够得到工会支持是非常重要的，许多大公司监事会的一半席位都是员工代表占据着。迈克尔.布莱希特对与新投资人的合作持开放态度，这对于吉利来说是个好消息。</w:t>
      </w:r>
    </w:p>
    <w:p w14:paraId="5A95CA89">
      <w:pPr>
        <w:spacing w:line="360" w:lineRule="auto"/>
        <w:ind w:firstLine="480" w:firstLineChars="200"/>
        <w:rPr>
          <w:rFonts w:hint="eastAsia" w:ascii="宋体" w:hAnsi="宋体" w:eastAsia="宋体" w:cs="宋体"/>
          <w:sz w:val="24"/>
          <w:szCs w:val="24"/>
          <w:lang w:eastAsia="zh-CN"/>
        </w:rPr>
      </w:pPr>
    </w:p>
    <w:p w14:paraId="77E57896">
      <w:pPr>
        <w:rPr>
          <w:rFonts w:hint="eastAsia"/>
          <w:b/>
          <w:bCs/>
          <w:sz w:val="24"/>
          <w:szCs w:val="24"/>
          <w:lang w:eastAsia="zh-CN"/>
        </w:rPr>
      </w:pPr>
      <w:r>
        <w:rPr>
          <w:rFonts w:hint="eastAsia"/>
          <w:b/>
          <w:bCs/>
          <w:sz w:val="24"/>
          <w:szCs w:val="24"/>
          <w:lang w:eastAsia="zh-CN"/>
        </w:rPr>
        <w:t>思考题：</w:t>
      </w:r>
    </w:p>
    <w:p w14:paraId="04A9821B">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1、试分析吉利入股戴姆勒公司事件中的利益相关者。</w:t>
      </w:r>
    </w:p>
    <w:p w14:paraId="1CBE36F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答：1）吉利。吉利作为收购方，其利益在于通过入股戴姆勒，获取戴姆勒的先进技术、品牌资源等，提升自身在全球汽车市场的竞争力，实现企业的战略扩张和产业升级。</w:t>
      </w:r>
    </w:p>
    <w:p w14:paraId="45A0232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2）戴姆勒。戴姆勒内部管理层态度保守，他们担心吉利的入股会影响公司现有管理架构和战略方向，可能导致控制权争夺或商业机密泄露等问题。</w:t>
      </w:r>
    </w:p>
    <w:p w14:paraId="765C5D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戴姆勒工会则较为乐观，他们通过与沃尔沃工会交流，了解到吉利尊重员工权益，希望吉利的入股能带来新的发展机遇，保障员工就业和福利。</w:t>
      </w:r>
    </w:p>
    <w:p w14:paraId="3C9ABDA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3）德国政府。德国政府认为此次收购属于企业决策，未提出反对意见，其关注重点在于收购是否合法合规，以及是否符合国家的经济和产业政策。</w:t>
      </w:r>
    </w:p>
    <w:p w14:paraId="6A53AEF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4）沃尔沃集团。沃尔沃集团由于吉利入股戴姆勒这一事件，其 CEO 退出集团董事会，以避免潜在的利益冲突，因为戴姆勒是沃尔沃集团的主要竞争对手。</w:t>
      </w:r>
    </w:p>
    <w:p w14:paraId="03734BDD">
      <w:pPr>
        <w:spacing w:line="360" w:lineRule="auto"/>
        <w:rPr>
          <w:rFonts w:hint="eastAsia" w:ascii="宋体" w:hAnsi="宋体" w:eastAsia="宋体" w:cs="宋体"/>
          <w:sz w:val="24"/>
          <w:szCs w:val="24"/>
          <w:lang w:eastAsia="zh-CN"/>
        </w:rPr>
      </w:pPr>
    </w:p>
    <w:p w14:paraId="77C1E42A">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2、以戴姆勒为例的德日企业治理模式的特征有哪些？</w:t>
      </w:r>
    </w:p>
    <w:p w14:paraId="69CC2B7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答：1）双层董事会结构。德日企业通常采用双层董事会，即有监督董事会（监事会）和执行董事会。监事会负责监督和任免执行董事会成员，执行董事会负责公司日常运营。</w:t>
      </w:r>
    </w:p>
    <w:p w14:paraId="725DE92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2）银行和法人持股比例高。银行和法人在企业中持股比例较高，他们往往通过长期持股参与公司治理，注重企业的长期稳定发展，而不是短期的股价波动。</w:t>
      </w:r>
    </w:p>
    <w:p w14:paraId="61508E7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3）员工参与公司治理。员工在公司治理中具有重要地位，如通过工会代表进入监事会，参与公司决策和监督，保障员工权益，促进企业内部的和谐稳定。</w:t>
      </w:r>
    </w:p>
    <w:p w14:paraId="5F9615D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4）主银行制度。企业与主银行建立长期密切的关系，主银行不仅为企业提供融资支持，还在企业经营困难时参与重组和治理，对企业的经营和财务状况进行监督。</w:t>
      </w:r>
    </w:p>
    <w:p w14:paraId="1A07AF51">
      <w:pPr>
        <w:spacing w:line="360" w:lineRule="auto"/>
        <w:rPr>
          <w:rFonts w:hint="eastAsia" w:ascii="宋体" w:hAnsi="宋体" w:eastAsia="宋体" w:cs="宋体"/>
          <w:sz w:val="24"/>
          <w:szCs w:val="24"/>
          <w:lang w:eastAsia="zh-CN"/>
        </w:rPr>
      </w:pPr>
    </w:p>
    <w:bookmarkEnd w:id="1"/>
    <w:p w14:paraId="378EA62F">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3、分析吉利为何考虑入股戴姆勒？</w:t>
      </w:r>
    </w:p>
    <w:p w14:paraId="0EBED6FD">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答：吉利考虑入股戴姆勒的原因包括：获取戴姆勒的先进技术，特别是在新能源汽车和自动驾驶等领域；借助戴姆勒的高端品牌形象提升吉利的品牌价值；实现全球化布局，拓展国际市场；寻求协同效应，在采购、生产、研发等方面实现资源共享和成本节约。</w:t>
      </w:r>
    </w:p>
    <w:sectPr>
      <w:footerReference r:id="rId6"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BAC92">
    <w:pPr>
      <w:pStyle w:val="3"/>
      <w:jc w:val="center"/>
    </w:pPr>
    <w:r>
      <w:rPr>
        <w:rFonts w:hint="eastAsia"/>
      </w:rPr>
      <w:t xml:space="preserve">第 </w:t>
    </w:r>
    <w:r>
      <w:t>1</w:t>
    </w:r>
    <w:r>
      <w:rPr>
        <w:rFonts w:hint="eastAsia"/>
      </w:rPr>
      <w:t xml:space="preserve"> 页（共 </w:t>
    </w:r>
    <w:r>
      <w:t>6</w:t>
    </w:r>
    <w:r>
      <w:rPr>
        <w:rFonts w:hint="eastAsia"/>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FB56B">
    <w:pPr>
      <w:pStyle w:val="3"/>
      <w:jc w:val="center"/>
    </w:pPr>
    <w:r>
      <w:rPr>
        <w:rFonts w:hint="eastAsia"/>
      </w:rPr>
      <w:t xml:space="preserve">第 </w:t>
    </w:r>
    <w:r>
      <w:t>3</w:t>
    </w:r>
    <w:r>
      <w:rPr>
        <w:rFonts w:hint="eastAsia"/>
      </w:rPr>
      <w:t xml:space="preserve">页（共 </w:t>
    </w:r>
    <w:r>
      <w:t>6</w:t>
    </w:r>
    <w:r>
      <w:rPr>
        <w:rFonts w:hint="eastAsia"/>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AB5CAF">
    <w:pPr>
      <w:pStyle w:val="3"/>
      <w:jc w:val="center"/>
    </w:pPr>
    <w:r>
      <w:rPr>
        <w:rFonts w:hint="eastAsia"/>
      </w:rPr>
      <w:t xml:space="preserve">第 </w:t>
    </w:r>
    <w:r>
      <w:t>5</w:t>
    </w:r>
    <w:r>
      <w:rPr>
        <w:rFonts w:hint="eastAsia"/>
      </w:rPr>
      <w:t xml:space="preserve"> 页（共 </w:t>
    </w:r>
    <w:r>
      <w:t>6</w:t>
    </w:r>
    <w:r>
      <w:rPr>
        <w:rFonts w:hint="eastAsia"/>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D0B8A">
    <w:pPr>
      <w:pStyle w:val="3"/>
      <w:jc w:val="center"/>
    </w:pPr>
    <w:r>
      <w:rPr>
        <w:rFonts w:hint="eastAsia"/>
      </w:rPr>
      <w:t xml:space="preserve">第 </w:t>
    </w:r>
    <w:r>
      <w:t>6</w:t>
    </w:r>
    <w:r>
      <w:rPr>
        <w:rFonts w:hint="eastAsia"/>
      </w:rPr>
      <w:t xml:space="preserve"> 页（共 </w:t>
    </w:r>
    <w:r>
      <w:t>6</w:t>
    </w:r>
    <w:r>
      <w:rPr>
        <w:rFonts w:hint="eastAsia"/>
      </w:rPr>
      <w:t xml:space="preserve"> 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I0YzgwZWVlZGQyZDkyZGFiNmI1YzVmNDdiNDY4YzAifQ=="/>
  </w:docVars>
  <w:rsids>
    <w:rsidRoot w:val="006A068E"/>
    <w:rsid w:val="000812C1"/>
    <w:rsid w:val="00092190"/>
    <w:rsid w:val="000C5893"/>
    <w:rsid w:val="000D6D9D"/>
    <w:rsid w:val="0011039C"/>
    <w:rsid w:val="0012076C"/>
    <w:rsid w:val="0013627A"/>
    <w:rsid w:val="00246F48"/>
    <w:rsid w:val="002811FF"/>
    <w:rsid w:val="00291546"/>
    <w:rsid w:val="00307BE9"/>
    <w:rsid w:val="00410BF1"/>
    <w:rsid w:val="00422FC7"/>
    <w:rsid w:val="004A7A29"/>
    <w:rsid w:val="00503DAC"/>
    <w:rsid w:val="00516ED1"/>
    <w:rsid w:val="006A068E"/>
    <w:rsid w:val="007D2F19"/>
    <w:rsid w:val="009619FF"/>
    <w:rsid w:val="009D27D0"/>
    <w:rsid w:val="009D6E46"/>
    <w:rsid w:val="00A640F0"/>
    <w:rsid w:val="00A65DED"/>
    <w:rsid w:val="00A74DDF"/>
    <w:rsid w:val="00AA27F3"/>
    <w:rsid w:val="00AD7988"/>
    <w:rsid w:val="00BC6220"/>
    <w:rsid w:val="00BD20E4"/>
    <w:rsid w:val="00BD7C42"/>
    <w:rsid w:val="00C05DE5"/>
    <w:rsid w:val="00C3507A"/>
    <w:rsid w:val="00C931F9"/>
    <w:rsid w:val="00D545AC"/>
    <w:rsid w:val="00D55687"/>
    <w:rsid w:val="00D72174"/>
    <w:rsid w:val="00D94819"/>
    <w:rsid w:val="00DA14E5"/>
    <w:rsid w:val="00E26346"/>
    <w:rsid w:val="00E449AA"/>
    <w:rsid w:val="00EF1165"/>
    <w:rsid w:val="00F0308F"/>
    <w:rsid w:val="05960D73"/>
    <w:rsid w:val="1D1F4CC2"/>
    <w:rsid w:val="1EE70E09"/>
    <w:rsid w:val="1F7839D5"/>
    <w:rsid w:val="206F1EB3"/>
    <w:rsid w:val="24D171E9"/>
    <w:rsid w:val="2663162B"/>
    <w:rsid w:val="2B053749"/>
    <w:rsid w:val="33666E2C"/>
    <w:rsid w:val="3FFA2E50"/>
    <w:rsid w:val="40FC0EC5"/>
    <w:rsid w:val="45561319"/>
    <w:rsid w:val="48D013E2"/>
    <w:rsid w:val="4C566C67"/>
    <w:rsid w:val="4C716A38"/>
    <w:rsid w:val="4F250311"/>
    <w:rsid w:val="51CC1D08"/>
    <w:rsid w:val="53864B36"/>
    <w:rsid w:val="55611AFF"/>
    <w:rsid w:val="591A5BE0"/>
    <w:rsid w:val="59E21C43"/>
    <w:rsid w:val="5E784955"/>
    <w:rsid w:val="64384C57"/>
    <w:rsid w:val="6706723E"/>
    <w:rsid w:val="695672CD"/>
    <w:rsid w:val="7C044924"/>
    <w:rsid w:val="7D7B2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Calibri" w:hAnsi="Calibri" w:eastAsia="等线" w:cs="21"/>
      <w:kern w:val="0"/>
      <w:sz w:val="22"/>
      <w:szCs w:val="22"/>
      <w:lang w:val="en-US" w:eastAsia="en-US"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rFonts w:ascii="Calibri" w:hAnsi="Calibri" w:eastAsia="等线" w:cs="21"/>
      <w:kern w:val="0"/>
      <w:sz w:val="18"/>
      <w:szCs w:val="18"/>
      <w:lang w:eastAsia="en-US"/>
    </w:rPr>
  </w:style>
  <w:style w:type="character" w:customStyle="1" w:styleId="8">
    <w:name w:val="页脚 字符"/>
    <w:basedOn w:val="6"/>
    <w:link w:val="3"/>
    <w:qFormat/>
    <w:uiPriority w:val="99"/>
    <w:rPr>
      <w:rFonts w:ascii="Calibri" w:hAnsi="Calibri" w:eastAsia="等线" w:cs="21"/>
      <w:kern w:val="0"/>
      <w:sz w:val="18"/>
      <w:szCs w:val="18"/>
      <w:lang w:eastAsia="en-US"/>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3486</Words>
  <Characters>3518</Characters>
  <Lines>21</Lines>
  <Paragraphs>5</Paragraphs>
  <TotalTime>0</TotalTime>
  <ScaleCrop>false</ScaleCrop>
  <LinksUpToDate>false</LinksUpToDate>
  <CharactersWithSpaces>4039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2022-03-30T04:58:00Z</dcterms:created>
  <dc:creator>lxy015408@126.com</dc:creator>
  <cp:lastModifiedBy>育华教育叶燮燮</cp:lastModifiedBy>
  <dcterms:modified xsi:type="dcterms:W3CDTF">2024-12-24T05:01:35Z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D5D3C8B20A59495EA3EBD2DAEB6C49CB_12</vt:lpwstr>
  </property>
</Properties>
</file>