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2B9FAA">
      <w:pPr>
        <w:pStyle w:val="2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一、简答题</w:t>
      </w:r>
    </w:p>
    <w:p w14:paraId="59990DAE">
      <w:pPr>
        <w:spacing w:line="360" w:lineRule="auto"/>
        <w:rPr>
          <w:rFonts w:ascii="Times New Roman" w:hAnsi="Times New Roman"/>
          <w:bCs/>
          <w:sz w:val="24"/>
        </w:rPr>
      </w:pPr>
      <w:r>
        <w:rPr>
          <w:rFonts w:hint="eastAsia" w:ascii="Times New Roman" w:hAnsi="Times New Roman"/>
          <w:bCs/>
          <w:sz w:val="24"/>
        </w:rPr>
        <w:t>1</w:t>
      </w:r>
      <w:r>
        <w:rPr>
          <w:rFonts w:ascii="Times New Roman" w:hAnsi="Times New Roman"/>
          <w:sz w:val="24"/>
        </w:rPr>
        <w:t>．</w:t>
      </w:r>
      <w:r>
        <w:rPr>
          <w:rFonts w:hint="eastAsia" w:ascii="Times New Roman" w:hAnsi="Times New Roman"/>
          <w:sz w:val="24"/>
        </w:rPr>
        <w:t>简述农业信息传播的服务模式</w:t>
      </w:r>
      <w:r>
        <w:rPr>
          <w:rFonts w:hint="eastAsia" w:ascii="Times New Roman" w:hAnsi="Times New Roman"/>
          <w:bCs/>
          <w:sz w:val="24"/>
        </w:rPr>
        <w:t>。</w:t>
      </w:r>
    </w:p>
    <w:p w14:paraId="5FAEACA4">
      <w:pPr>
        <w:widowControl/>
        <w:spacing w:line="360" w:lineRule="auto"/>
        <w:jc w:val="left"/>
        <w:rPr>
          <w:rFonts w:ascii="Times New Roman" w:hAnsi="Times New Roman"/>
          <w:bCs/>
          <w:sz w:val="24"/>
        </w:rPr>
      </w:pPr>
      <w:r>
        <w:rPr>
          <w:rFonts w:hint="eastAsia" w:ascii="Times New Roman" w:hAnsi="Times New Roman"/>
          <w:bCs/>
          <w:sz w:val="24"/>
        </w:rPr>
        <w:t>答：传统农业信息服务模式、和现代农业信息服务模式、综合模式、金农工程　</w:t>
      </w:r>
    </w:p>
    <w:p w14:paraId="4B220703">
      <w:pPr>
        <w:widowControl/>
        <w:spacing w:line="360" w:lineRule="auto"/>
        <w:jc w:val="left"/>
        <w:rPr>
          <w:rFonts w:ascii="Times New Roman" w:hAnsi="Times New Roman"/>
          <w:bCs/>
          <w:sz w:val="24"/>
        </w:rPr>
      </w:pPr>
      <w:r>
        <w:rPr>
          <w:rFonts w:hint="eastAsia" w:ascii="Times New Roman" w:hAnsi="Times New Roman"/>
          <w:bCs/>
          <w:sz w:val="24"/>
        </w:rPr>
        <w:t>传统农业信息服务模式：培训；现场指导；报纸杂志图书；电视广播；光盘影像。　</w:t>
      </w:r>
    </w:p>
    <w:p w14:paraId="7373EC75">
      <w:pPr>
        <w:widowControl/>
        <w:spacing w:line="360" w:lineRule="auto"/>
        <w:jc w:val="left"/>
        <w:rPr>
          <w:rFonts w:ascii="Times New Roman" w:hAnsi="Times New Roman"/>
          <w:bCs/>
          <w:sz w:val="24"/>
        </w:rPr>
      </w:pPr>
      <w:r>
        <w:rPr>
          <w:rFonts w:hint="eastAsia" w:ascii="Times New Roman" w:hAnsi="Times New Roman"/>
          <w:bCs/>
          <w:sz w:val="24"/>
        </w:rPr>
        <w:t>现代农业信息服务模式　：三电合一；三网合一；农业科技“110”；三农热线12396；农业网站；网上交易会；农业科技专家大院；农村远程教育。</w:t>
      </w:r>
    </w:p>
    <w:p w14:paraId="414333B3">
      <w:pPr>
        <w:widowControl/>
        <w:spacing w:line="360" w:lineRule="auto"/>
        <w:jc w:val="left"/>
        <w:rPr>
          <w:rFonts w:ascii="Times New Roman" w:hAnsi="Times New Roman"/>
          <w:bCs/>
          <w:sz w:val="24"/>
        </w:rPr>
      </w:pPr>
      <w:r>
        <w:rPr>
          <w:rFonts w:hint="eastAsia" w:ascii="Times New Roman" w:hAnsi="Times New Roman"/>
          <w:bCs/>
          <w:sz w:val="24"/>
        </w:rPr>
        <w:t>综合模式：将传统模式与现代手段相结</w:t>
      </w:r>
      <w:bookmarkStart w:id="0" w:name="_GoBack"/>
      <w:bookmarkEnd w:id="0"/>
      <w:r>
        <w:rPr>
          <w:rFonts w:hint="eastAsia" w:ascii="Times New Roman" w:hAnsi="Times New Roman"/>
          <w:bCs/>
          <w:sz w:val="24"/>
        </w:rPr>
        <w:t>合。</w:t>
      </w:r>
    </w:p>
    <w:p w14:paraId="4A2322C8">
      <w:pPr>
        <w:widowControl/>
        <w:spacing w:line="360" w:lineRule="auto"/>
        <w:jc w:val="left"/>
        <w:rPr>
          <w:rFonts w:ascii="Times New Roman" w:hAnsi="Times New Roman"/>
          <w:bCs/>
          <w:sz w:val="24"/>
        </w:rPr>
      </w:pPr>
    </w:p>
    <w:p w14:paraId="40FA3ACF">
      <w:pPr>
        <w:rPr>
          <w:rFonts w:ascii="Times New Roman" w:hAnsi="Times New Roman"/>
          <w:bCs/>
          <w:sz w:val="24"/>
        </w:rPr>
      </w:pPr>
      <w:r>
        <w:rPr>
          <w:rFonts w:hint="eastAsia" w:ascii="Times New Roman" w:hAnsi="Times New Roman"/>
          <w:bCs/>
          <w:sz w:val="24"/>
        </w:rPr>
        <w:t>2</w:t>
      </w:r>
      <w:r>
        <w:rPr>
          <w:rFonts w:ascii="Times New Roman" w:hAnsi="Times New Roman"/>
          <w:sz w:val="24"/>
        </w:rPr>
        <w:t>．</w:t>
      </w:r>
      <w:r>
        <w:rPr>
          <w:rFonts w:hint="eastAsia" w:ascii="Times New Roman" w:hAnsi="Times New Roman"/>
          <w:bCs/>
          <w:sz w:val="24"/>
        </w:rPr>
        <w:t xml:space="preserve">简述决策支持系统的结构。 </w:t>
      </w:r>
    </w:p>
    <w:p w14:paraId="627B138C">
      <w:pPr>
        <w:widowControl/>
        <w:spacing w:line="360" w:lineRule="auto"/>
        <w:ind w:firstLine="480" w:firstLineChars="200"/>
        <w:jc w:val="left"/>
        <w:rPr>
          <w:rFonts w:ascii="Times New Roman" w:hAnsi="Times New Roman"/>
          <w:bCs/>
          <w:sz w:val="24"/>
        </w:rPr>
      </w:pPr>
    </w:p>
    <w:p w14:paraId="5AAEDD1B">
      <w:pPr>
        <w:widowControl/>
        <w:spacing w:line="360" w:lineRule="auto"/>
        <w:ind w:firstLine="480" w:firstLineChars="200"/>
        <w:jc w:val="left"/>
        <w:rPr>
          <w:rFonts w:ascii="Times New Roman" w:hAnsi="Times New Roman"/>
          <w:bCs/>
          <w:sz w:val="24"/>
        </w:rPr>
      </w:pPr>
      <w:r>
        <w:rPr>
          <w:rFonts w:hint="eastAsia" w:ascii="Times New Roman" w:hAnsi="Times New Roman"/>
          <w:bCs/>
          <w:sz w:val="24"/>
        </w:rPr>
        <w:t>决策支持系统结构形式是“三部件结构”和“三系统结构”，三部件机构包括人机对话部件，数据部件，模型部件。三系统结构包括语言系统，知识系统和问题处理系统。</w:t>
      </w:r>
    </w:p>
    <w:p w14:paraId="016540B6">
      <w:pPr>
        <w:widowControl/>
        <w:spacing w:line="360" w:lineRule="auto"/>
        <w:jc w:val="left"/>
        <w:rPr>
          <w:rFonts w:ascii="Times New Roman" w:hAnsi="Times New Roman"/>
          <w:bCs/>
          <w:sz w:val="24"/>
        </w:rPr>
      </w:pPr>
      <w:r>
        <w:rPr>
          <w:rFonts w:hint="eastAsia" w:ascii="Times New Roman" w:hAnsi="Times New Roman"/>
          <w:bCs/>
          <w:sz w:val="24"/>
        </w:rPr>
        <w:t>3</w:t>
      </w:r>
      <w:r>
        <w:rPr>
          <w:rFonts w:ascii="Times New Roman" w:hAnsi="Times New Roman"/>
          <w:sz w:val="24"/>
        </w:rPr>
        <w:t>．</w:t>
      </w:r>
      <w:r>
        <w:rPr>
          <w:rFonts w:hint="eastAsia" w:ascii="Times New Roman" w:hAnsi="Times New Roman"/>
          <w:bCs/>
          <w:sz w:val="24"/>
        </w:rPr>
        <w:t xml:space="preserve">简述农业遥感的作用。 </w:t>
      </w:r>
    </w:p>
    <w:p w14:paraId="32616242">
      <w:pPr>
        <w:widowControl/>
        <w:spacing w:line="360" w:lineRule="auto"/>
        <w:ind w:firstLine="480" w:firstLineChars="200"/>
        <w:jc w:val="left"/>
        <w:rPr>
          <w:rFonts w:ascii="Times New Roman" w:hAnsi="Times New Roman"/>
          <w:bCs/>
          <w:sz w:val="24"/>
        </w:rPr>
      </w:pPr>
    </w:p>
    <w:p w14:paraId="7DDA6ADB">
      <w:pPr>
        <w:widowControl/>
        <w:spacing w:line="360" w:lineRule="auto"/>
        <w:ind w:firstLine="480" w:firstLineChars="200"/>
        <w:jc w:val="left"/>
        <w:rPr>
          <w:rFonts w:ascii="Times New Roman" w:hAnsi="Times New Roman"/>
          <w:bCs/>
          <w:sz w:val="24"/>
        </w:rPr>
      </w:pPr>
      <w:r>
        <w:rPr>
          <w:rFonts w:hint="eastAsia" w:ascii="Times New Roman" w:hAnsi="Times New Roman"/>
          <w:bCs/>
          <w:sz w:val="24"/>
        </w:rPr>
        <w:t>一般而言，对于一项具体的遥感技术，同时具有经济、社会、生态和科学效益。</w:t>
      </w:r>
    </w:p>
    <w:p w14:paraId="3F426136">
      <w:pPr>
        <w:widowControl/>
        <w:spacing w:line="360" w:lineRule="auto"/>
        <w:jc w:val="left"/>
        <w:rPr>
          <w:rFonts w:ascii="Times New Roman" w:hAnsi="Times New Roman"/>
          <w:bCs/>
          <w:sz w:val="24"/>
        </w:rPr>
      </w:pPr>
      <w:r>
        <w:rPr>
          <w:rFonts w:hint="eastAsia" w:ascii="Times New Roman" w:hAnsi="Times New Roman"/>
          <w:bCs/>
          <w:sz w:val="24"/>
        </w:rPr>
        <w:t>科学效益：（1）、提高制图精度；（2）、便于土壤、水质、土质情况的监测，有利于土壤改良进行；（3）、促进农业转型，有利于农业发展。</w:t>
      </w:r>
    </w:p>
    <w:p w14:paraId="70982A68">
      <w:pPr>
        <w:widowControl/>
        <w:spacing w:line="360" w:lineRule="auto"/>
        <w:jc w:val="left"/>
        <w:rPr>
          <w:rFonts w:ascii="Times New Roman" w:hAnsi="Times New Roman"/>
          <w:bCs/>
          <w:sz w:val="24"/>
        </w:rPr>
      </w:pPr>
      <w:r>
        <w:rPr>
          <w:rFonts w:hint="eastAsia" w:ascii="Times New Roman" w:hAnsi="Times New Roman"/>
          <w:bCs/>
          <w:sz w:val="24"/>
        </w:rPr>
        <w:t>经济效益：（1）、有利于节省大量时间成本，应用于“遥感估产”；</w:t>
      </w:r>
    </w:p>
    <w:p w14:paraId="189FD729">
      <w:pPr>
        <w:widowControl/>
        <w:spacing w:line="360" w:lineRule="auto"/>
        <w:jc w:val="left"/>
        <w:rPr>
          <w:rFonts w:ascii="Times New Roman" w:hAnsi="Times New Roman"/>
          <w:bCs/>
          <w:sz w:val="24"/>
        </w:rPr>
      </w:pPr>
      <w:r>
        <w:rPr>
          <w:rFonts w:hint="eastAsia"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 xml:space="preserve">         </w:t>
      </w:r>
      <w:r>
        <w:rPr>
          <w:rFonts w:hint="eastAsia" w:ascii="Times New Roman" w:hAnsi="Times New Roman"/>
          <w:bCs/>
          <w:sz w:val="24"/>
        </w:rPr>
        <w:t>（2）、有利于节省大量人力与财力；农业遥感的发展有利于节约人力成本。</w:t>
      </w:r>
    </w:p>
    <w:p w14:paraId="1178375C">
      <w:pPr>
        <w:spacing w:line="360" w:lineRule="auto"/>
        <w:rPr>
          <w:rFonts w:ascii="Times New Roman" w:hAnsi="Times New Roman"/>
          <w:bCs/>
          <w:sz w:val="24"/>
        </w:rPr>
      </w:pPr>
    </w:p>
    <w:p w14:paraId="1AF8BB65">
      <w:pPr>
        <w:spacing w:line="360" w:lineRule="auto"/>
        <w:rPr>
          <w:rFonts w:ascii="Times New Roman" w:hAnsi="Times New Roman"/>
          <w:bCs/>
          <w:sz w:val="24"/>
        </w:rPr>
      </w:pPr>
    </w:p>
    <w:p w14:paraId="5339D1C1">
      <w:pPr>
        <w:pStyle w:val="2"/>
        <w:snapToGrid w:val="0"/>
        <w:spacing w:line="360" w:lineRule="auto"/>
        <w:jc w:val="left"/>
        <w:rPr>
          <w:rFonts w:hAnsi="宋体" w:cs="Times New Roman"/>
          <w:b/>
          <w:bCs/>
          <w:color w:val="000000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二、</w:t>
      </w:r>
      <w:r>
        <w:rPr>
          <w:rFonts w:hint="eastAsia" w:hAnsi="宋体" w:cs="Times New Roman"/>
          <w:b/>
          <w:bCs/>
          <w:color w:val="000000"/>
          <w:sz w:val="24"/>
          <w:szCs w:val="24"/>
        </w:rPr>
        <w:t>论述题</w:t>
      </w:r>
    </w:p>
    <w:p w14:paraId="6C30BE90">
      <w:pPr>
        <w:widowControl/>
        <w:snapToGrid w:val="0"/>
        <w:spacing w:line="360" w:lineRule="auto"/>
        <w:rPr>
          <w:rFonts w:ascii="宋体" w:hAnsi="宋体"/>
          <w:sz w:val="24"/>
        </w:rPr>
      </w:pPr>
      <w:r>
        <w:rPr>
          <w:rFonts w:hint="eastAsia"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．</w:t>
      </w:r>
      <w:r>
        <w:rPr>
          <w:rFonts w:hint="eastAsia" w:ascii="宋体" w:hAnsi="宋体"/>
          <w:sz w:val="24"/>
        </w:rPr>
        <w:t>论述构建农业专家系统的难点与技术</w:t>
      </w:r>
    </w:p>
    <w:p w14:paraId="250B9845">
      <w:pPr>
        <w:widowControl/>
        <w:snapToGrid w:val="0"/>
        <w:spacing w:line="360" w:lineRule="auto"/>
        <w:rPr>
          <w:rFonts w:ascii="Times New Roman" w:hAnsi="Times New Roman"/>
          <w:kern w:val="0"/>
          <w:sz w:val="24"/>
        </w:rPr>
      </w:pPr>
      <w:r>
        <w:rPr>
          <w:rFonts w:hint="eastAsia" w:ascii="Times New Roman" w:hAnsi="Times New Roman"/>
          <w:kern w:val="0"/>
          <w:sz w:val="24"/>
        </w:rPr>
        <w:t>1）专家系统指是一个拥有大量权威农业专家的经验、资料、数据与成果构成的知识库，并能利用其知识，模拟农业专家解决问题的思维方法进行判断、推理，以求得解决农业生产问题结论的智能程序系统。</w:t>
      </w:r>
    </w:p>
    <w:p w14:paraId="48DD4F94">
      <w:pPr>
        <w:widowControl/>
        <w:snapToGrid w:val="0"/>
        <w:spacing w:line="360" w:lineRule="auto"/>
        <w:rPr>
          <w:rFonts w:ascii="Times New Roman" w:hAnsi="Times New Roman"/>
          <w:kern w:val="0"/>
          <w:sz w:val="24"/>
        </w:rPr>
      </w:pPr>
      <w:r>
        <w:rPr>
          <w:rFonts w:hint="eastAsia" w:ascii="Times New Roman" w:hAnsi="Times New Roman"/>
          <w:kern w:val="0"/>
          <w:sz w:val="24"/>
        </w:rPr>
        <w:t>2）难点在于专家知识获取</w:t>
      </w:r>
    </w:p>
    <w:p w14:paraId="6D42C9AA">
      <w:pPr>
        <w:widowControl/>
        <w:snapToGrid w:val="0"/>
        <w:spacing w:line="360" w:lineRule="auto"/>
        <w:rPr>
          <w:rFonts w:ascii="Times New Roman" w:hAnsi="Times New Roman"/>
          <w:kern w:val="0"/>
          <w:sz w:val="24"/>
        </w:rPr>
      </w:pPr>
      <w:r>
        <w:rPr>
          <w:rFonts w:hint="eastAsia" w:ascii="Times New Roman" w:hAnsi="Times New Roman"/>
          <w:kern w:val="0"/>
          <w:sz w:val="24"/>
        </w:rPr>
        <w:t>3）知识分为显性知识、隐形知识。显性知识获取可通过阅读书本、杂志等，进行文本分析等方式获取。隐性知识的获取建立知识库、数据库，通过推理机、人机界面等实现。</w:t>
      </w:r>
    </w:p>
    <w:p w14:paraId="363F63FD">
      <w:pPr>
        <w:widowControl/>
        <w:snapToGrid w:val="0"/>
        <w:spacing w:line="360" w:lineRule="auto"/>
        <w:rPr>
          <w:rFonts w:ascii="宋体" w:hAnsi="宋体"/>
          <w:sz w:val="24"/>
        </w:rPr>
      </w:pPr>
    </w:p>
    <w:p w14:paraId="38EBA3AC">
      <w:pPr>
        <w:widowControl/>
        <w:numPr>
          <w:ilvl w:val="0"/>
          <w:numId w:val="1"/>
        </w:numPr>
        <w:snapToGrid w:val="0"/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 w:cs="宋体"/>
          <w:kern w:val="0"/>
          <w:sz w:val="24"/>
        </w:rPr>
        <w:t>论述智慧农业对我国乡村振兴发展中的意义。</w:t>
      </w:r>
    </w:p>
    <w:p w14:paraId="42F2D141">
      <w:pPr>
        <w:numPr>
          <w:ilvl w:val="0"/>
          <w:numId w:val="2"/>
        </w:numPr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智慧农业激发产业振兴活力。产业振兴是乡村振兴的重要基础，智慧农业通过作用于产业发展过程来激发产业振兴的活力。</w:t>
      </w:r>
    </w:p>
    <w:p w14:paraId="7852874C">
      <w:pPr>
        <w:numPr>
          <w:ilvl w:val="0"/>
          <w:numId w:val="2"/>
        </w:numPr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智慧农业带来人才振兴机遇。人才振兴是乡村振兴的重要支撑，智慧农业将现代化技术、理念应用于传统产业，间接通过学习资源共享为人才振兴带来机遇。</w:t>
      </w:r>
    </w:p>
    <w:p w14:paraId="111D62E7">
      <w:pPr>
        <w:numPr>
          <w:ilvl w:val="0"/>
          <w:numId w:val="2"/>
        </w:numPr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智慧农业打下生态振兴基础。生态振兴是美丽乡村建设的重要内容，是人民群众的共同愿景。智慧农业在应用过程中通过改善生态环境、推动农业绿色发展为生态振兴打下基础。</w:t>
      </w:r>
    </w:p>
    <w:p w14:paraId="2F67E7CC">
      <w:pPr>
        <w:numPr>
          <w:ilvl w:val="0"/>
          <w:numId w:val="2"/>
        </w:numPr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智慧农业带动农民脱贫致富。乡村振兴的最终目标是实现农业强、农村美、农民富，智慧农业通过科学技术、大数据与农业结合指导农民种植养殖，能够改变“靠天吃饭”和散乱无序的低效状态，带动农民脱贫致富。</w:t>
      </w:r>
    </w:p>
    <w:p w14:paraId="13D95700"/>
    <w:sectPr>
      <w:footerReference r:id="rId3" w:type="default"/>
      <w:pgSz w:w="11907" w:h="16840"/>
      <w:pgMar w:top="1701" w:right="1134" w:bottom="1701" w:left="1985" w:header="851" w:footer="85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345992">
    <w:pPr>
      <w:pStyle w:val="3"/>
      <w:jc w:val="center"/>
      <w:rPr>
        <w:rFonts w:ascii="仿宋_GB2312" w:eastAsia="仿宋_GB2312"/>
        <w:b/>
        <w:sz w:val="21"/>
        <w:szCs w:val="21"/>
      </w:rPr>
    </w:pPr>
    <w:r>
      <w:rPr>
        <w:rFonts w:hint="eastAsia" w:ascii="仿宋_GB2312" w:eastAsia="仿宋_GB2312"/>
        <w:b/>
        <w:kern w:val="0"/>
        <w:sz w:val="21"/>
        <w:szCs w:val="21"/>
      </w:rPr>
      <w:t>共</w:t>
    </w:r>
    <w:r>
      <w:rPr>
        <w:rFonts w:hint="eastAsia" w:ascii="仿宋_GB2312" w:eastAsia="仿宋_GB2312"/>
        <w:b/>
        <w:sz w:val="21"/>
        <w:szCs w:val="21"/>
      </w:rPr>
      <w:fldChar w:fldCharType="begin"/>
    </w:r>
    <w:r>
      <w:rPr>
        <w:rStyle w:val="7"/>
        <w:rFonts w:hint="eastAsia" w:ascii="仿宋_GB2312" w:eastAsia="仿宋_GB2312"/>
        <w:b/>
        <w:sz w:val="21"/>
        <w:szCs w:val="21"/>
      </w:rPr>
      <w:instrText xml:space="preserve"> NUMPAGES </w:instrText>
    </w:r>
    <w:r>
      <w:rPr>
        <w:rFonts w:hint="eastAsia" w:ascii="仿宋_GB2312" w:eastAsia="仿宋_GB2312"/>
        <w:b/>
        <w:sz w:val="21"/>
        <w:szCs w:val="21"/>
      </w:rPr>
      <w:fldChar w:fldCharType="separate"/>
    </w:r>
    <w:r>
      <w:rPr>
        <w:rStyle w:val="7"/>
        <w:rFonts w:ascii="仿宋_GB2312" w:eastAsia="仿宋_GB2312"/>
        <w:b/>
        <w:sz w:val="21"/>
        <w:szCs w:val="21"/>
      </w:rPr>
      <w:t>6</w:t>
    </w:r>
    <w:r>
      <w:rPr>
        <w:rFonts w:hint="eastAsia" w:ascii="仿宋_GB2312" w:eastAsia="仿宋_GB2312"/>
        <w:b/>
        <w:sz w:val="21"/>
        <w:szCs w:val="21"/>
      </w:rPr>
      <w:fldChar w:fldCharType="end"/>
    </w:r>
    <w:r>
      <w:rPr>
        <w:rStyle w:val="7"/>
        <w:rFonts w:hint="eastAsia" w:ascii="仿宋_GB2312" w:eastAsia="仿宋_GB2312"/>
        <w:b/>
        <w:sz w:val="21"/>
        <w:szCs w:val="21"/>
      </w:rPr>
      <w:t xml:space="preserve">页  </w:t>
    </w:r>
    <w:r>
      <w:rPr>
        <w:rFonts w:hint="eastAsia" w:ascii="仿宋_GB2312" w:eastAsia="仿宋_GB2312"/>
        <w:b/>
        <w:kern w:val="0"/>
        <w:sz w:val="21"/>
        <w:szCs w:val="21"/>
      </w:rPr>
      <w:t xml:space="preserve">第 </w:t>
    </w:r>
    <w:r>
      <w:rPr>
        <w:rFonts w:hint="eastAsia" w:ascii="仿宋_GB2312" w:eastAsia="仿宋_GB2312"/>
        <w:b/>
        <w:sz w:val="21"/>
        <w:szCs w:val="21"/>
      </w:rPr>
      <w:fldChar w:fldCharType="begin"/>
    </w:r>
    <w:r>
      <w:rPr>
        <w:rStyle w:val="7"/>
        <w:rFonts w:hint="eastAsia" w:ascii="仿宋_GB2312" w:eastAsia="仿宋_GB2312"/>
        <w:b/>
        <w:sz w:val="21"/>
        <w:szCs w:val="21"/>
      </w:rPr>
      <w:instrText xml:space="preserve"> PAGE </w:instrText>
    </w:r>
    <w:r>
      <w:rPr>
        <w:rFonts w:hint="eastAsia" w:ascii="仿宋_GB2312" w:eastAsia="仿宋_GB2312"/>
        <w:b/>
        <w:sz w:val="21"/>
        <w:szCs w:val="21"/>
      </w:rPr>
      <w:fldChar w:fldCharType="separate"/>
    </w:r>
    <w:r>
      <w:rPr>
        <w:rStyle w:val="7"/>
        <w:rFonts w:ascii="仿宋_GB2312" w:eastAsia="仿宋_GB2312"/>
        <w:b/>
        <w:sz w:val="21"/>
        <w:szCs w:val="21"/>
      </w:rPr>
      <w:t>1</w:t>
    </w:r>
    <w:r>
      <w:rPr>
        <w:rFonts w:hint="eastAsia" w:ascii="仿宋_GB2312" w:eastAsia="仿宋_GB2312"/>
        <w:b/>
        <w:sz w:val="21"/>
        <w:szCs w:val="21"/>
      </w:rPr>
      <w:fldChar w:fldCharType="end"/>
    </w:r>
    <w:r>
      <w:rPr>
        <w:rFonts w:hint="eastAsia" w:ascii="仿宋_GB2312" w:eastAsia="仿宋_GB2312"/>
        <w:b/>
        <w:kern w:val="0"/>
        <w:sz w:val="21"/>
        <w:szCs w:val="21"/>
      </w:rPr>
      <w:t xml:space="preserve"> 页</w:t>
    </w:r>
  </w:p>
  <w:p w14:paraId="335D156D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8D9312"/>
    <w:multiLevelType w:val="singleLevel"/>
    <w:tmpl w:val="B08D9312"/>
    <w:lvl w:ilvl="0" w:tentative="0">
      <w:start w:val="2"/>
      <w:numFmt w:val="decimal"/>
      <w:suff w:val="nothing"/>
      <w:lvlText w:val="%1．"/>
      <w:lvlJc w:val="left"/>
    </w:lvl>
  </w:abstractNum>
  <w:abstractNum w:abstractNumId="1">
    <w:nsid w:val="5FBE431C"/>
    <w:multiLevelType w:val="multilevel"/>
    <w:tmpl w:val="5FBE431C"/>
    <w:lvl w:ilvl="0" w:tentative="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59C"/>
    <w:rsid w:val="000F359C"/>
    <w:rsid w:val="00510427"/>
    <w:rsid w:val="00DF6A5A"/>
    <w:rsid w:val="67D10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mbria" w:hAnsi="Cambria" w:eastAsia="宋体" w:cs="Times New Roman"/>
      <w:kern w:val="2"/>
      <w:sz w:val="21"/>
      <w:szCs w:val="24"/>
      <w:lang w:val="en-US" w:eastAsia="zh-CN" w:bidi="ar-SA"/>
      <w14:ligatures w14:val="none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8"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qFormat/>
    <w:uiPriority w:val="0"/>
  </w:style>
  <w:style w:type="character" w:customStyle="1" w:styleId="8">
    <w:name w:val="纯文本 字符"/>
    <w:basedOn w:val="6"/>
    <w:link w:val="2"/>
    <w:qFormat/>
    <w:uiPriority w:val="0"/>
    <w:rPr>
      <w:rFonts w:ascii="宋体" w:hAnsi="Courier New" w:eastAsia="宋体" w:cs="Courier New"/>
      <w:szCs w:val="21"/>
      <w14:ligatures w14:val="none"/>
    </w:rPr>
  </w:style>
  <w:style w:type="character" w:customStyle="1" w:styleId="9">
    <w:name w:val="页脚 字符"/>
    <w:basedOn w:val="6"/>
    <w:link w:val="3"/>
    <w:qFormat/>
    <w:uiPriority w:val="0"/>
    <w:rPr>
      <w:rFonts w:ascii="Cambria" w:hAnsi="Cambria" w:eastAsia="宋体" w:cs="Times New Roman"/>
      <w:sz w:val="18"/>
      <w:szCs w:val="18"/>
      <w14:ligatures w14:val="none"/>
    </w:rPr>
  </w:style>
  <w:style w:type="character" w:customStyle="1" w:styleId="10">
    <w:name w:val="页眉 字符"/>
    <w:basedOn w:val="6"/>
    <w:link w:val="4"/>
    <w:qFormat/>
    <w:uiPriority w:val="99"/>
    <w:rPr>
      <w:rFonts w:ascii="Cambria" w:hAnsi="Cambria" w:eastAsia="宋体" w:cs="Times New Roman"/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1248</Words>
  <Characters>1258</Characters>
  <Lines>9</Lines>
  <Paragraphs>2</Paragraphs>
  <TotalTime>1</TotalTime>
  <ScaleCrop>false</ScaleCrop>
  <LinksUpToDate>false</LinksUpToDate>
  <CharactersWithSpaces>1274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2023-12-05T11:36:00Z</dcterms:created>
  <dc:creator>zunfu</dc:creator>
  <cp:lastModifiedBy>育华教育叶燮燮</cp:lastModifiedBy>
  <dcterms:modified xsi:type="dcterms:W3CDTF">2026-01-13T02:19:57Z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eyJoZGlkIjoiZDAxOGQyZjRjY2ZhMTJlYmYwN2M1MmQ4MjlmMDk1OTYiLCJ1c2VySWQiOiIzNjI0MjU4ODQifQ==</vt:lpwstr>
  </property>
  <property fmtid="{D5CDD505-2E9C-101B-9397-08002B2CF9AE}" pid="3" name="KSOProductBuildVer">
    <vt:lpwstr>2052-12.1.0.24034</vt:lpwstr>
  </property>
  <property fmtid="{D5CDD505-2E9C-101B-9397-08002B2CF9AE}" pid="4" name="ICV">
    <vt:lpwstr>ADF095FC8132413882EDC9EC51B64223_12</vt:lpwstr>
  </property>
</Properties>
</file>