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1A641">
      <w:pPr>
        <w:rPr>
          <w:rFonts w:hint="eastAsia"/>
          <w:lang w:val="en-US" w:eastAsia="zh-CN"/>
        </w:rPr>
      </w:pPr>
      <w:r>
        <w:rPr>
          <w:rFonts w:hint="eastAsia"/>
          <w:lang w:val="en-US" w:eastAsia="zh-CN"/>
        </w:rPr>
        <w:t>刑事诉讼法复习资料</w:t>
      </w:r>
    </w:p>
    <w:p w14:paraId="5CF3BE15">
      <w:pPr>
        <w:keepNext w:val="0"/>
        <w:keepLines w:val="0"/>
        <w:pageBreakBefore w:val="0"/>
        <w:numPr>
          <w:ilvl w:val="0"/>
          <w:numId w:val="0"/>
        </w:numPr>
        <w:kinsoku/>
        <w:wordWrap/>
        <w:overflowPunct/>
        <w:topLinePunct w:val="0"/>
        <w:autoSpaceDE/>
        <w:autoSpaceDN/>
        <w:bidi w:val="0"/>
        <w:adjustRightInd/>
        <w:snapToGrid/>
        <w:spacing w:line="440" w:lineRule="exact"/>
        <w:rPr>
          <w:rFonts w:hint="eastAsia" w:ascii="宋体" w:hAnsi="宋体" w:eastAsia="宋体" w:cs="宋体"/>
          <w:b/>
          <w:bCs/>
          <w:i w:val="0"/>
          <w:iCs w:val="0"/>
          <w:color w:val="000000"/>
          <w:lang w:val="en-US" w:eastAsia="zh-CN"/>
        </w:rPr>
      </w:pPr>
      <w:r>
        <w:rPr>
          <w:rFonts w:hint="eastAsia" w:ascii="宋体" w:hAnsi="宋体" w:eastAsia="宋体" w:cs="宋体"/>
          <w:b/>
          <w:bCs/>
          <w:i w:val="0"/>
          <w:iCs w:val="0"/>
          <w:color w:val="000000"/>
          <w:lang w:val="en-US" w:eastAsia="zh-CN"/>
        </w:rPr>
        <w:t>一、填空题</w:t>
      </w:r>
    </w:p>
    <w:p w14:paraId="1D6986CE">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i w:val="0"/>
          <w:iCs w:val="0"/>
          <w:color w:val="000000"/>
          <w:sz w:val="21"/>
          <w:szCs w:val="21"/>
          <w:lang w:val="en-US" w:eastAsia="zh-CN"/>
        </w:rPr>
        <w:t>1、</w:t>
      </w:r>
      <w:r>
        <w:rPr>
          <w:rFonts w:hint="eastAsia" w:ascii="宋体" w:hAnsi="宋体" w:eastAsia="宋体" w:cs="宋体"/>
          <w:b w:val="0"/>
          <w:bCs w:val="0"/>
          <w:color w:val="000000"/>
          <w:sz w:val="21"/>
          <w:szCs w:val="21"/>
          <w:u w:val="none"/>
          <w:vertAlign w:val="baseline"/>
          <w:lang w:val="en-US" w:eastAsia="zh-CN"/>
        </w:rPr>
        <w:t>为了保证刑法的正确实施，</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，保护人民，保障国家安全和社会公共安全，维护社会主义社会秩序，根据</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，制定本法。</w:t>
      </w:r>
    </w:p>
    <w:p w14:paraId="08DBEE02">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2、</w:t>
      </w:r>
      <w:bookmarkStart w:id="0" w:name="tiao_5_kuan_1"/>
      <w:bookmarkEnd w:id="0"/>
      <w:r>
        <w:rPr>
          <w:rFonts w:hint="eastAsia" w:ascii="宋体" w:hAnsi="宋体" w:eastAsia="宋体" w:cs="宋体"/>
          <w:b w:val="0"/>
          <w:bCs w:val="0"/>
          <w:color w:val="000000"/>
          <w:sz w:val="21"/>
          <w:szCs w:val="21"/>
          <w:u w:val="none"/>
          <w:vertAlign w:val="baseline"/>
          <w:lang w:val="en-US" w:eastAsia="zh-CN"/>
        </w:rPr>
        <w:t>人民法院依照法律规定独立行使</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，人民检察院依照法律规定独立行使检察权，不受</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和个人的干涉。</w:t>
      </w:r>
    </w:p>
    <w:p w14:paraId="6CE7B073">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3</w:t>
      </w:r>
      <w:bookmarkStart w:id="1" w:name="tiao_10_kuan_1"/>
      <w:bookmarkEnd w:id="1"/>
      <w:r>
        <w:rPr>
          <w:rFonts w:hint="eastAsia" w:ascii="宋体" w:hAnsi="宋体" w:eastAsia="宋体" w:cs="宋体"/>
          <w:b w:val="0"/>
          <w:bCs w:val="0"/>
          <w:color w:val="000000"/>
          <w:sz w:val="21"/>
          <w:szCs w:val="21"/>
          <w:u w:val="none"/>
          <w:vertAlign w:val="baseline"/>
          <w:lang w:val="en-US" w:eastAsia="zh-CN"/>
        </w:rPr>
        <w:t>、人民法院审判案件，实行</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制。</w:t>
      </w:r>
      <w:r>
        <w:rPr>
          <w:rFonts w:hint="eastAsia" w:ascii="宋体" w:hAnsi="宋体" w:eastAsia="宋体" w:cs="宋体"/>
          <w:b w:val="0"/>
          <w:bCs w:val="0"/>
          <w:color w:val="000000"/>
          <w:sz w:val="21"/>
          <w:szCs w:val="21"/>
          <w:u w:val="none"/>
          <w:vertAlign w:val="baseline"/>
          <w:lang w:val="en-US" w:eastAsia="zh-CN"/>
        </w:rPr>
        <w:fldChar w:fldCharType="begin"/>
      </w:r>
      <w:r>
        <w:rPr>
          <w:rFonts w:hint="eastAsia" w:ascii="宋体" w:hAnsi="宋体" w:eastAsia="宋体" w:cs="宋体"/>
          <w:b w:val="0"/>
          <w:bCs w:val="0"/>
          <w:color w:val="000000"/>
          <w:sz w:val="21"/>
          <w:szCs w:val="21"/>
          <w:u w:val="none"/>
          <w:vertAlign w:val="baseline"/>
          <w:lang w:val="en-US" w:eastAsia="zh-CN"/>
        </w:rPr>
        <w:instrText xml:space="preserve"> HYPERLINK "javascript:void(0);" </w:instrText>
      </w:r>
      <w:r>
        <w:rPr>
          <w:rFonts w:hint="eastAsia" w:ascii="宋体" w:hAnsi="宋体" w:eastAsia="宋体" w:cs="宋体"/>
          <w:b w:val="0"/>
          <w:bCs w:val="0"/>
          <w:color w:val="000000"/>
          <w:sz w:val="21"/>
          <w:szCs w:val="21"/>
          <w:u w:val="none"/>
          <w:vertAlign w:val="baseline"/>
          <w:lang w:val="en-US" w:eastAsia="zh-CN"/>
        </w:rPr>
        <w:fldChar w:fldCharType="separate"/>
      </w:r>
      <w:r>
        <w:rPr>
          <w:rFonts w:hint="eastAsia" w:ascii="宋体" w:hAnsi="宋体" w:eastAsia="宋体" w:cs="宋体"/>
          <w:b w:val="0"/>
          <w:bCs w:val="0"/>
          <w:color w:val="000000"/>
          <w:sz w:val="21"/>
          <w:szCs w:val="21"/>
          <w:u w:val="none"/>
          <w:vertAlign w:val="baseline"/>
          <w:lang w:val="en-US" w:eastAsia="zh-CN"/>
        </w:rPr>
        <w:fldChar w:fldCharType="end"/>
      </w:r>
    </w:p>
    <w:p w14:paraId="685F3AD1">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4、</w:t>
      </w:r>
      <w:bookmarkStart w:id="2" w:name="tiao_15_kuan_1"/>
      <w:bookmarkEnd w:id="2"/>
      <w:r>
        <w:rPr>
          <w:rFonts w:hint="eastAsia" w:ascii="宋体" w:hAnsi="宋体" w:eastAsia="宋体" w:cs="宋体"/>
          <w:b w:val="0"/>
          <w:bCs w:val="0"/>
          <w:color w:val="000000"/>
          <w:sz w:val="21"/>
          <w:szCs w:val="21"/>
          <w:u w:val="none"/>
          <w:vertAlign w:val="baseline"/>
          <w:lang w:val="en-US" w:eastAsia="zh-CN"/>
        </w:rPr>
        <w:t>犯罪嫌疑人、被告人自愿如实供述</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，承认指控的犯罪事实，愿意接受处罚的，可以依法</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w:t>
      </w:r>
    </w:p>
    <w:p w14:paraId="5DC7208A">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5、</w:t>
      </w:r>
      <w:bookmarkStart w:id="3" w:name="tiao_25_kuan_1"/>
      <w:bookmarkEnd w:id="3"/>
      <w:r>
        <w:rPr>
          <w:rFonts w:hint="eastAsia" w:ascii="宋体" w:hAnsi="宋体" w:eastAsia="宋体" w:cs="宋体"/>
          <w:b w:val="0"/>
          <w:bCs w:val="0"/>
          <w:color w:val="000000"/>
          <w:sz w:val="21"/>
          <w:szCs w:val="21"/>
          <w:u w:val="none"/>
          <w:vertAlign w:val="baseline"/>
          <w:lang w:val="en-US" w:eastAsia="zh-CN"/>
        </w:rPr>
        <w:t>刑事案件由</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的人民法院管辖。如果由</w:t>
      </w:r>
      <w:r>
        <w:rPr>
          <w:rFonts w:hint="eastAsia" w:ascii="宋体" w:hAnsi="宋体" w:eastAsia="宋体" w:cs="宋体"/>
          <w:b w:val="0"/>
          <w:bCs w:val="0"/>
          <w:color w:val="000000"/>
          <w:sz w:val="21"/>
          <w:szCs w:val="21"/>
          <w:u w:val="single"/>
          <w:vertAlign w:val="baseline"/>
          <w:lang w:val="en-US" w:eastAsia="zh-CN"/>
        </w:rPr>
        <w:t xml:space="preserve">         </w:t>
      </w:r>
      <w:bookmarkStart w:id="23" w:name="_GoBack"/>
      <w:bookmarkEnd w:id="23"/>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的人民法院审判更为适宜的，可以由</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的人民法院管辖。</w:t>
      </w:r>
    </w:p>
    <w:p w14:paraId="5565C3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6、</w:t>
      </w:r>
      <w:bookmarkStart w:id="4" w:name="tiao_31_kuan_1"/>
      <w:bookmarkEnd w:id="4"/>
      <w:r>
        <w:rPr>
          <w:rFonts w:hint="eastAsia" w:ascii="宋体" w:hAnsi="宋体" w:eastAsia="宋体" w:cs="宋体"/>
          <w:b w:val="0"/>
          <w:bCs w:val="0"/>
          <w:color w:val="000000"/>
          <w:sz w:val="21"/>
          <w:szCs w:val="21"/>
          <w:u w:val="none"/>
          <w:vertAlign w:val="baseline"/>
          <w:lang w:val="en-US" w:eastAsia="zh-CN"/>
        </w:rPr>
        <w:t>审判人员、检察人员、侦查人员的回避，应当分别由</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、公安机关负责人决定；院长的回避，由</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决定；检察长和公安机关负责人的回避，由同级</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决定。</w:t>
      </w:r>
    </w:p>
    <w:p w14:paraId="37B7AE1C">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default"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color w:val="000000"/>
          <w:sz w:val="21"/>
          <w:szCs w:val="21"/>
          <w:u w:val="none"/>
          <w:vertAlign w:val="baseline"/>
          <w:lang w:val="en-US" w:eastAsia="zh-CN"/>
        </w:rPr>
        <w:t>7、被</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和被吊销律师、公证员</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的人，不得担任</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，但系犯罪嫌疑人、被告人的监护人、</w:t>
      </w:r>
      <w:r>
        <w:rPr>
          <w:rFonts w:hint="eastAsia" w:ascii="宋体" w:hAnsi="宋体" w:eastAsia="宋体" w:cs="宋体"/>
          <w:b w:val="0"/>
          <w:bCs w:val="0"/>
          <w:color w:val="000000"/>
          <w:sz w:val="21"/>
          <w:szCs w:val="21"/>
          <w:u w:val="single"/>
          <w:vertAlign w:val="baseline"/>
          <w:lang w:val="en-US" w:eastAsia="zh-CN"/>
        </w:rPr>
        <w:t xml:space="preserve">               </w:t>
      </w:r>
      <w:r>
        <w:rPr>
          <w:rFonts w:hint="eastAsia" w:ascii="宋体" w:hAnsi="宋体" w:eastAsia="宋体" w:cs="宋体"/>
          <w:b w:val="0"/>
          <w:bCs w:val="0"/>
          <w:color w:val="000000"/>
          <w:sz w:val="21"/>
          <w:szCs w:val="21"/>
          <w:u w:val="none"/>
          <w:vertAlign w:val="baseline"/>
          <w:lang w:val="en-US" w:eastAsia="zh-CN"/>
        </w:rPr>
        <w:t>的除外。</w:t>
      </w:r>
    </w:p>
    <w:p w14:paraId="5BDF1C5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二、判断题</w:t>
      </w:r>
    </w:p>
    <w:p w14:paraId="13D0E0C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1、程序法要求法律预先规定刑事诉讼程序</w:t>
      </w:r>
      <w:r>
        <w:rPr>
          <w:rFonts w:hint="eastAsia" w:ascii="宋体" w:hAnsi="宋体" w:eastAsia="宋体" w:cs="宋体"/>
          <w:b w:val="0"/>
          <w:bCs w:val="0"/>
          <w:color w:val="000000"/>
          <w:sz w:val="21"/>
          <w:szCs w:val="21"/>
          <w:vertAlign w:val="baseline"/>
        </w:rPr>
        <w:t>。</w:t>
      </w:r>
      <w:r>
        <w:rPr>
          <w:rFonts w:hint="eastAsia" w:ascii="宋体" w:hAnsi="宋体" w:eastAsia="宋体" w:cs="宋体"/>
          <w:b w:val="0"/>
          <w:bCs w:val="0"/>
          <w:color w:val="000000"/>
          <w:sz w:val="21"/>
          <w:szCs w:val="21"/>
          <w:vertAlign w:val="baseline"/>
          <w:lang w:val="en-US" w:eastAsia="zh-CN"/>
        </w:rPr>
        <w:t xml:space="preserve">                                 （   ）</w:t>
      </w:r>
    </w:p>
    <w:p w14:paraId="75A10FB8">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40" w:lineRule="exact"/>
        <w:ind w:right="374" w:rightChars="0"/>
        <w:jc w:val="both"/>
        <w:textAlignment w:val="baseline"/>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2"/>
          <w:sz w:val="21"/>
          <w:szCs w:val="21"/>
          <w:u w:val="none"/>
          <w:vertAlign w:val="baseline"/>
          <w:lang w:val="en-US" w:eastAsia="zh-CN" w:bidi="ar-SA"/>
        </w:rPr>
        <w:t>2、人民检察院依法对刑事诉讼实行法律监督</w:t>
      </w:r>
      <w:r>
        <w:rPr>
          <w:rFonts w:hint="eastAsia" w:ascii="宋体" w:hAnsi="宋体" w:eastAsia="宋体" w:cs="宋体"/>
          <w:b w:val="0"/>
          <w:bCs w:val="0"/>
          <w:color w:val="000000"/>
          <w:kern w:val="2"/>
          <w:sz w:val="21"/>
          <w:szCs w:val="21"/>
          <w:vertAlign w:val="baseline"/>
          <w:lang w:val="en-US" w:eastAsia="zh-CN" w:bidi="ar-SA"/>
        </w:rPr>
        <w:t>。                               （   ）</w:t>
      </w:r>
      <w:r>
        <w:rPr>
          <w:rFonts w:hint="eastAsia" w:ascii="宋体" w:hAnsi="宋体" w:eastAsia="宋体" w:cs="宋体"/>
          <w:b w:val="0"/>
          <w:bCs w:val="0"/>
          <w:color w:val="000000"/>
          <w:sz w:val="21"/>
          <w:szCs w:val="21"/>
          <w:vertAlign w:val="baseline"/>
          <w:lang w:val="en-US" w:eastAsia="zh-CN"/>
        </w:rPr>
        <w:t xml:space="preserve"> </w:t>
      </w: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7C6EE14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3、公检法机关有义务保障犯罪嫌疑人、被告人享有辩护权。                   （   ）</w:t>
      </w:r>
    </w:p>
    <w:p w14:paraId="26F5097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4、情节轻微、危害不大，不认为是犯罪的属于法定不予追究刑事责任的情形</w:t>
      </w:r>
      <w:r>
        <w:rPr>
          <w:rFonts w:hint="eastAsia" w:ascii="宋体" w:hAnsi="宋体" w:eastAsia="宋体" w:cs="宋体"/>
          <w:b w:val="0"/>
          <w:bCs w:val="0"/>
          <w:color w:val="000000"/>
          <w:sz w:val="21"/>
          <w:szCs w:val="21"/>
          <w:vertAlign w:val="baseline"/>
          <w:lang w:eastAsia="zh-CN"/>
        </w:rPr>
        <w:t>。</w:t>
      </w:r>
      <w:r>
        <w:rPr>
          <w:rFonts w:hint="eastAsia" w:ascii="宋体" w:hAnsi="宋体" w:eastAsia="宋体" w:cs="宋体"/>
          <w:b w:val="0"/>
          <w:bCs w:val="0"/>
          <w:color w:val="000000"/>
          <w:sz w:val="21"/>
          <w:szCs w:val="21"/>
          <w:vertAlign w:val="baseline"/>
          <w:lang w:val="en-US" w:eastAsia="zh-CN"/>
        </w:rPr>
        <w:t xml:space="preserve">       </w:t>
      </w:r>
      <w:r>
        <w:rPr>
          <w:rFonts w:hint="eastAsia" w:ascii="宋体" w:hAnsi="宋体" w:eastAsia="宋体" w:cs="宋体"/>
          <w:b w:val="0"/>
          <w:bCs w:val="0"/>
          <w:color w:val="000000"/>
          <w:kern w:val="2"/>
          <w:sz w:val="21"/>
          <w:szCs w:val="21"/>
          <w:u w:val="none"/>
          <w:vertAlign w:val="baseline"/>
          <w:lang w:val="en-US" w:eastAsia="zh-CN" w:bidi="ar-SA"/>
        </w:rPr>
        <w:t>（  ）</w:t>
      </w:r>
      <w:r>
        <w:rPr>
          <w:rFonts w:hint="eastAsia" w:ascii="宋体" w:hAnsi="宋体" w:eastAsia="宋体" w:cs="宋体"/>
          <w:b w:val="0"/>
          <w:bCs w:val="0"/>
          <w:color w:val="000000"/>
          <w:sz w:val="21"/>
          <w:szCs w:val="21"/>
          <w:vertAlign w:val="baseline"/>
          <w:lang w:val="en-US" w:eastAsia="zh-CN"/>
        </w:rPr>
        <w:t xml:space="preserve"> </w:t>
      </w:r>
    </w:p>
    <w:p w14:paraId="54B453E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5、刑事诉讼中的参与人包括公诉人。                                           （  ）</w:t>
      </w:r>
    </w:p>
    <w:p w14:paraId="699581FE">
      <w:pPr>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 xml:space="preserve">6、危害国家安全、恐怖活动案件由中级人民法院管辖。                           （  ）   </w:t>
      </w:r>
    </w:p>
    <w:p w14:paraId="736F041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三、选择题</w:t>
      </w:r>
    </w:p>
    <w:p w14:paraId="752F5DB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i w:val="0"/>
          <w:iCs w:val="0"/>
          <w:color w:val="000000"/>
          <w:lang w:val="en-US" w:eastAsia="zh-CN"/>
        </w:rPr>
      </w:pPr>
      <w:bookmarkStart w:id="5" w:name="OLE_LINK1"/>
      <w:r>
        <w:rPr>
          <w:rFonts w:hint="eastAsia" w:ascii="宋体" w:hAnsi="宋体" w:eastAsia="宋体" w:cs="宋体"/>
          <w:b w:val="0"/>
          <w:bCs w:val="0"/>
          <w:i w:val="0"/>
          <w:iCs w:val="0"/>
          <w:color w:val="000000"/>
          <w:lang w:val="en-US" w:eastAsia="zh-CN"/>
        </w:rPr>
        <w:t>1、关于犯罪嫌疑人逮捕后的侦查羁押期限表述正确的是？</w:t>
      </w:r>
    </w:p>
    <w:p w14:paraId="01EA5683">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000000"/>
          <w:lang w:val="en-US" w:eastAsia="zh-CN"/>
        </w:rPr>
      </w:pPr>
      <w:r>
        <w:rPr>
          <w:rFonts w:hint="eastAsia" w:ascii="宋体" w:hAnsi="宋体" w:eastAsia="宋体" w:cs="宋体"/>
          <w:b w:val="0"/>
          <w:bCs w:val="0"/>
          <w:i w:val="0"/>
          <w:iCs w:val="0"/>
          <w:color w:val="000000"/>
          <w:lang w:val="en-US" w:eastAsia="zh-CN"/>
        </w:rPr>
        <w:t>A、对犯罪嫌疑人逮捕后的侦查羁押期限不得超过二个月</w:t>
      </w:r>
    </w:p>
    <w:p w14:paraId="34F49A01">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000000"/>
          <w:lang w:val="en-US" w:eastAsia="zh-CN"/>
        </w:rPr>
      </w:pPr>
      <w:r>
        <w:rPr>
          <w:rFonts w:hint="eastAsia" w:ascii="宋体" w:hAnsi="宋体" w:eastAsia="宋体" w:cs="宋体"/>
          <w:b w:val="0"/>
          <w:bCs w:val="0"/>
          <w:i w:val="0"/>
          <w:iCs w:val="0"/>
          <w:color w:val="000000"/>
          <w:lang w:val="en-US" w:eastAsia="zh-CN"/>
        </w:rPr>
        <w:t>B、案情复杂、期限届满不能终结的案件，可以经同级人民检察院批准延长一个月</w:t>
      </w:r>
    </w:p>
    <w:p w14:paraId="4D7453FC">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000000"/>
          <w:lang w:val="en-US" w:eastAsia="zh-CN"/>
        </w:rPr>
      </w:pPr>
      <w:r>
        <w:rPr>
          <w:rFonts w:hint="eastAsia" w:ascii="宋体" w:hAnsi="宋体" w:eastAsia="宋体" w:cs="宋体"/>
          <w:b w:val="0"/>
          <w:bCs w:val="0"/>
          <w:i w:val="0"/>
          <w:iCs w:val="0"/>
          <w:color w:val="000000"/>
          <w:lang w:val="en-US" w:eastAsia="zh-CN"/>
        </w:rPr>
        <w:t>C、在侦查期间，发现犯罪嫌疑人另有重要罪行的，侦查羁押期限不能重新计算</w:t>
      </w:r>
    </w:p>
    <w:p w14:paraId="02304D8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rPr>
      </w:pPr>
      <w:r>
        <w:rPr>
          <w:rFonts w:hint="eastAsia" w:ascii="宋体" w:hAnsi="宋体" w:eastAsia="宋体" w:cs="宋体"/>
          <w:b w:val="0"/>
          <w:bCs w:val="0"/>
          <w:i w:val="0"/>
          <w:iCs w:val="0"/>
          <w:color w:val="000000"/>
          <w:lang w:val="en-US" w:eastAsia="zh-CN"/>
        </w:rPr>
        <w:t>D、</w:t>
      </w:r>
      <w:bookmarkEnd w:id="5"/>
      <w:r>
        <w:rPr>
          <w:rFonts w:hint="eastAsia" w:ascii="宋体" w:hAnsi="宋体" w:eastAsia="宋体" w:cs="宋体"/>
          <w:b w:val="0"/>
          <w:bCs w:val="0"/>
          <w:i w:val="0"/>
          <w:iCs w:val="0"/>
          <w:color w:val="000000"/>
          <w:lang w:val="en-US" w:eastAsia="zh-CN"/>
        </w:rPr>
        <w:t>犯罪嫌疑人不讲真实姓名、住址，身份不明的，侦查羁押期限自被逮捕之日起计算</w:t>
      </w:r>
    </w:p>
    <w:p w14:paraId="408BA494">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000000"/>
          <w:lang w:val="en-US"/>
        </w:rPr>
      </w:pPr>
      <w:r>
        <w:rPr>
          <w:rFonts w:hint="eastAsia" w:ascii="宋体" w:hAnsi="宋体" w:eastAsia="宋体" w:cs="宋体"/>
          <w:b w:val="0"/>
          <w:bCs w:val="0"/>
          <w:i w:val="0"/>
          <w:iCs w:val="0"/>
          <w:color w:val="000000"/>
          <w:lang w:val="en-US" w:eastAsia="zh-CN"/>
        </w:rPr>
        <w:t>2、关于不起诉，下列说法正确的是？</w:t>
      </w:r>
    </w:p>
    <w:p w14:paraId="4A725DE1">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000000"/>
          <w:lang w:val="en-US" w:eastAsia="zh-CN"/>
        </w:rPr>
      </w:pPr>
      <w:r>
        <w:rPr>
          <w:rFonts w:hint="eastAsia" w:ascii="宋体" w:hAnsi="宋体" w:eastAsia="宋体" w:cs="宋体"/>
          <w:color w:val="000000"/>
        </w:rPr>
        <w:t>A</w:t>
      </w:r>
      <w:r>
        <w:rPr>
          <w:rFonts w:hint="eastAsia" w:ascii="宋体" w:hAnsi="宋体" w:eastAsia="宋体" w:cs="宋体"/>
          <w:color w:val="000000"/>
          <w:lang w:eastAsia="zh-CN"/>
        </w:rPr>
        <w:t>、</w:t>
      </w:r>
      <w:r>
        <w:rPr>
          <w:rFonts w:hint="eastAsia" w:ascii="宋体" w:hAnsi="宋体" w:eastAsia="宋体" w:cs="宋体"/>
          <w:color w:val="000000"/>
          <w:lang w:val="en-US" w:eastAsia="zh-CN"/>
        </w:rPr>
        <w:t>被不起诉人对不起诉决定不服的，不能申诉</w:t>
      </w:r>
    </w:p>
    <w:p w14:paraId="071D11AD">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000000"/>
          <w:lang w:val="en-US" w:eastAsia="zh-CN"/>
        </w:rPr>
      </w:pPr>
      <w:r>
        <w:rPr>
          <w:rFonts w:hint="eastAsia" w:ascii="宋体" w:hAnsi="宋体" w:eastAsia="宋体" w:cs="宋体"/>
          <w:color w:val="000000"/>
        </w:rPr>
        <w:t>B</w:t>
      </w:r>
      <w:r>
        <w:rPr>
          <w:rFonts w:hint="eastAsia" w:ascii="宋体" w:hAnsi="宋体" w:eastAsia="宋体" w:cs="宋体"/>
          <w:color w:val="000000"/>
          <w:lang w:eastAsia="zh-CN"/>
        </w:rPr>
        <w:t>、</w:t>
      </w:r>
      <w:r>
        <w:rPr>
          <w:rFonts w:hint="eastAsia" w:ascii="宋体" w:hAnsi="宋体" w:eastAsia="宋体" w:cs="宋体"/>
          <w:b w:val="0"/>
          <w:bCs w:val="0"/>
          <w:i w:val="0"/>
          <w:iCs w:val="0"/>
          <w:color w:val="000000"/>
          <w:lang w:val="en-US" w:eastAsia="zh-CN"/>
        </w:rPr>
        <w:t>犯罪嫌疑人没有犯罪事实，人民检察院应当作出不起诉决定</w:t>
      </w:r>
      <w:r>
        <w:rPr>
          <w:rFonts w:hint="eastAsia" w:ascii="宋体" w:hAnsi="宋体" w:eastAsia="宋体" w:cs="宋体"/>
          <w:b w:val="0"/>
          <w:bCs w:val="0"/>
          <w:i w:val="0"/>
          <w:iCs w:val="0"/>
          <w:color w:val="000000"/>
          <w:lang w:val="en-US" w:eastAsia="zh-CN"/>
        </w:rPr>
        <w:fldChar w:fldCharType="begin"/>
      </w:r>
      <w:r>
        <w:rPr>
          <w:rFonts w:hint="eastAsia" w:ascii="宋体" w:hAnsi="宋体" w:eastAsia="宋体" w:cs="宋体"/>
          <w:b w:val="0"/>
          <w:bCs w:val="0"/>
          <w:i w:val="0"/>
          <w:iCs w:val="0"/>
          <w:color w:val="000000"/>
          <w:lang w:val="en-US" w:eastAsia="zh-CN"/>
        </w:rPr>
        <w:instrText xml:space="preserve"> HYPERLINK "javascript:void(0);" </w:instrText>
      </w:r>
      <w:r>
        <w:rPr>
          <w:rFonts w:hint="eastAsia" w:ascii="宋体" w:hAnsi="宋体" w:eastAsia="宋体" w:cs="宋体"/>
          <w:b w:val="0"/>
          <w:bCs w:val="0"/>
          <w:i w:val="0"/>
          <w:iCs w:val="0"/>
          <w:color w:val="000000"/>
          <w:lang w:val="en-US" w:eastAsia="zh-CN"/>
        </w:rPr>
        <w:fldChar w:fldCharType="separate"/>
      </w:r>
      <w:r>
        <w:rPr>
          <w:rFonts w:hint="eastAsia" w:ascii="宋体" w:hAnsi="宋体" w:eastAsia="宋体" w:cs="宋体"/>
          <w:b w:val="0"/>
          <w:bCs w:val="0"/>
          <w:i w:val="0"/>
          <w:iCs w:val="0"/>
          <w:color w:val="000000"/>
          <w:lang w:val="en-US" w:eastAsia="zh-CN"/>
        </w:rPr>
        <w:fldChar w:fldCharType="end"/>
      </w:r>
    </w:p>
    <w:p w14:paraId="3364222B">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 w:val="0"/>
          <w:bCs w:val="0"/>
          <w:i w:val="0"/>
          <w:iCs w:val="0"/>
          <w:color w:val="000000"/>
          <w:lang w:val="en-US" w:eastAsia="zh-CN"/>
        </w:rPr>
      </w:pPr>
      <w:r>
        <w:rPr>
          <w:rFonts w:hint="eastAsia" w:ascii="宋体" w:hAnsi="宋体" w:eastAsia="宋体" w:cs="宋体"/>
          <w:b w:val="0"/>
          <w:bCs w:val="0"/>
          <w:i w:val="0"/>
          <w:iCs w:val="0"/>
          <w:color w:val="000000"/>
          <w:lang w:val="en-US" w:eastAsia="zh-CN"/>
        </w:rPr>
        <w:t>C、不起诉的决定，可以不宣布</w:t>
      </w:r>
    </w:p>
    <w:p w14:paraId="6675D64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rPr>
      </w:pPr>
      <w:r>
        <w:rPr>
          <w:rFonts w:hint="eastAsia" w:ascii="宋体" w:hAnsi="宋体" w:eastAsia="宋体" w:cs="宋体"/>
          <w:b w:val="0"/>
          <w:bCs w:val="0"/>
          <w:i w:val="0"/>
          <w:iCs w:val="0"/>
          <w:color w:val="000000"/>
          <w:lang w:val="en-US" w:eastAsia="zh-CN"/>
        </w:rPr>
        <w:t>D、公安机关认为不起诉的决定有错误的时候，可以要求复议，但不能提请复核</w:t>
      </w:r>
      <w:r>
        <w:rPr>
          <w:rFonts w:hint="eastAsia" w:ascii="宋体" w:hAnsi="宋体" w:eastAsia="宋体" w:cs="宋体"/>
          <w:b w:val="0"/>
          <w:bCs w:val="0"/>
          <w:i w:val="0"/>
          <w:iCs w:val="0"/>
          <w:color w:val="000000"/>
          <w:lang w:val="en-US" w:eastAsia="zh-CN"/>
        </w:rPr>
        <w:fldChar w:fldCharType="begin"/>
      </w:r>
      <w:r>
        <w:rPr>
          <w:rFonts w:hint="eastAsia" w:ascii="宋体" w:hAnsi="宋体" w:eastAsia="宋体" w:cs="宋体"/>
          <w:b w:val="0"/>
          <w:bCs w:val="0"/>
          <w:i w:val="0"/>
          <w:iCs w:val="0"/>
          <w:color w:val="000000"/>
          <w:lang w:val="en-US" w:eastAsia="zh-CN"/>
        </w:rPr>
        <w:instrText xml:space="preserve"> HYPERLINK "javascript:void(0);" </w:instrText>
      </w:r>
      <w:r>
        <w:rPr>
          <w:rFonts w:hint="eastAsia" w:ascii="宋体" w:hAnsi="宋体" w:eastAsia="宋体" w:cs="宋体"/>
          <w:b w:val="0"/>
          <w:bCs w:val="0"/>
          <w:i w:val="0"/>
          <w:iCs w:val="0"/>
          <w:color w:val="000000"/>
          <w:lang w:val="en-US" w:eastAsia="zh-CN"/>
        </w:rPr>
        <w:fldChar w:fldCharType="separate"/>
      </w:r>
      <w:r>
        <w:rPr>
          <w:rFonts w:hint="eastAsia" w:ascii="宋体" w:hAnsi="宋体" w:eastAsia="宋体" w:cs="宋体"/>
          <w:b w:val="0"/>
          <w:bCs w:val="0"/>
          <w:i w:val="0"/>
          <w:iCs w:val="0"/>
          <w:color w:val="000000"/>
          <w:lang w:val="en-US" w:eastAsia="zh-CN"/>
        </w:rPr>
        <w:fldChar w:fldCharType="end"/>
      </w:r>
    </w:p>
    <w:p w14:paraId="3CD74C0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000000"/>
          <w:lang w:val="en-US"/>
        </w:rPr>
      </w:pPr>
      <w:bookmarkStart w:id="6" w:name="OLE_LINK2"/>
      <w:r>
        <w:rPr>
          <w:rFonts w:hint="eastAsia" w:ascii="宋体" w:hAnsi="宋体" w:eastAsia="宋体" w:cs="宋体"/>
          <w:b w:val="0"/>
          <w:bCs w:val="0"/>
          <w:i w:val="0"/>
          <w:iCs w:val="0"/>
          <w:color w:val="000000"/>
          <w:lang w:val="en-US" w:eastAsia="zh-CN"/>
        </w:rPr>
        <w:t>3、下列哪类案件应当公开审理？</w:t>
      </w:r>
    </w:p>
    <w:p w14:paraId="3F09BBD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rPr>
        <w:t>A</w:t>
      </w:r>
      <w:r>
        <w:rPr>
          <w:rFonts w:hint="eastAsia" w:ascii="宋体" w:hAnsi="宋体" w:eastAsia="宋体" w:cs="宋体"/>
          <w:color w:val="000000"/>
          <w:lang w:eastAsia="zh-CN"/>
        </w:rPr>
        <w:t>、</w:t>
      </w:r>
      <w:r>
        <w:rPr>
          <w:rFonts w:hint="eastAsia" w:ascii="宋体" w:hAnsi="宋体" w:eastAsia="宋体" w:cs="宋体"/>
          <w:color w:val="000000"/>
          <w:lang w:val="en-US" w:eastAsia="zh-CN"/>
        </w:rPr>
        <w:t xml:space="preserve">间谍罪                  </w:t>
      </w:r>
      <w:r>
        <w:rPr>
          <w:rFonts w:hint="eastAsia" w:ascii="宋体" w:hAnsi="宋体" w:eastAsia="宋体" w:cs="宋体"/>
          <w:color w:val="000000"/>
        </w:rPr>
        <w:t>B</w:t>
      </w:r>
      <w:r>
        <w:rPr>
          <w:rFonts w:hint="eastAsia" w:ascii="宋体" w:hAnsi="宋体" w:eastAsia="宋体" w:cs="宋体"/>
          <w:color w:val="000000"/>
          <w:lang w:eastAsia="zh-CN"/>
        </w:rPr>
        <w:t>、</w:t>
      </w:r>
      <w:r>
        <w:rPr>
          <w:rFonts w:hint="eastAsia" w:ascii="宋体" w:hAnsi="宋体" w:eastAsia="宋体" w:cs="宋体"/>
          <w:color w:val="000000"/>
          <w:lang w:val="en-US" w:eastAsia="zh-CN"/>
        </w:rPr>
        <w:t xml:space="preserve">强奸罪 </w:t>
      </w:r>
    </w:p>
    <w:p w14:paraId="6853D0ED">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000000"/>
          <w:lang w:val="en-US"/>
        </w:rPr>
      </w:pPr>
      <w:r>
        <w:rPr>
          <w:rFonts w:hint="eastAsia" w:ascii="宋体" w:hAnsi="宋体" w:eastAsia="宋体" w:cs="宋体"/>
          <w:color w:val="000000"/>
        </w:rPr>
        <w:t>C</w:t>
      </w:r>
      <w:r>
        <w:rPr>
          <w:rFonts w:hint="eastAsia" w:ascii="宋体" w:hAnsi="宋体" w:eastAsia="宋体" w:cs="宋体"/>
          <w:color w:val="000000"/>
          <w:lang w:eastAsia="zh-CN"/>
        </w:rPr>
        <w:t>、</w:t>
      </w:r>
      <w:r>
        <w:rPr>
          <w:rFonts w:hint="eastAsia" w:ascii="宋体" w:hAnsi="宋体" w:eastAsia="宋体" w:cs="宋体"/>
          <w:color w:val="000000"/>
          <w:lang w:val="en-US" w:eastAsia="zh-CN"/>
        </w:rPr>
        <w:t xml:space="preserve">盗窃罪                  </w:t>
      </w:r>
      <w:r>
        <w:rPr>
          <w:rFonts w:hint="eastAsia" w:ascii="宋体" w:hAnsi="宋体" w:eastAsia="宋体" w:cs="宋体"/>
          <w:color w:val="000000"/>
        </w:rPr>
        <w:t>D</w:t>
      </w:r>
      <w:r>
        <w:rPr>
          <w:rFonts w:hint="eastAsia" w:ascii="宋体" w:hAnsi="宋体" w:eastAsia="宋体" w:cs="宋体"/>
          <w:color w:val="000000"/>
          <w:lang w:eastAsia="zh-CN"/>
        </w:rPr>
        <w:t>、</w:t>
      </w:r>
      <w:r>
        <w:rPr>
          <w:rFonts w:hint="eastAsia" w:ascii="宋体" w:hAnsi="宋体" w:eastAsia="宋体" w:cs="宋体"/>
          <w:color w:val="000000"/>
          <w:lang w:val="en-US" w:eastAsia="zh-CN"/>
        </w:rPr>
        <w:t>强制猥亵罪</w:t>
      </w:r>
    </w:p>
    <w:bookmarkEnd w:id="6"/>
    <w:p w14:paraId="222BC98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i w:val="0"/>
          <w:iCs w:val="0"/>
          <w:color w:val="000000"/>
          <w:lang w:val="en-US" w:eastAsia="zh-CN"/>
        </w:rPr>
      </w:pPr>
      <w:r>
        <w:rPr>
          <w:rFonts w:hint="eastAsia" w:ascii="宋体" w:hAnsi="宋体" w:eastAsia="宋体" w:cs="宋体"/>
          <w:b w:val="0"/>
          <w:bCs w:val="0"/>
          <w:i w:val="0"/>
          <w:iCs w:val="0"/>
          <w:color w:val="000000"/>
          <w:lang w:val="en-US" w:eastAsia="zh-CN"/>
        </w:rPr>
        <w:t>4、证人应当出庭作证的条件不包括哪种？</w:t>
      </w:r>
    </w:p>
    <w:p w14:paraId="2AAE224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rPr>
        <w:t>A</w:t>
      </w:r>
      <w:r>
        <w:rPr>
          <w:rFonts w:hint="eastAsia" w:ascii="宋体" w:hAnsi="宋体" w:eastAsia="宋体" w:cs="宋体"/>
          <w:color w:val="000000"/>
          <w:lang w:eastAsia="zh-CN"/>
        </w:rPr>
        <w:t>、</w:t>
      </w:r>
      <w:r>
        <w:rPr>
          <w:rFonts w:hint="eastAsia" w:ascii="宋体" w:hAnsi="宋体" w:eastAsia="宋体" w:cs="宋体"/>
          <w:color w:val="000000"/>
          <w:lang w:val="en-US" w:eastAsia="zh-CN"/>
        </w:rPr>
        <w:t>对证人证言有异议</w:t>
      </w:r>
    </w:p>
    <w:p w14:paraId="0DCF9CD6">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B、证人证言对案件定罪量刑有重大影响</w:t>
      </w:r>
    </w:p>
    <w:p w14:paraId="5D262FCD">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C、人民法院认为证人有必要出庭作证的</w:t>
      </w:r>
    </w:p>
    <w:p w14:paraId="176BB0D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D、控诉机关提出证人出庭申请的</w:t>
      </w:r>
    </w:p>
    <w:p w14:paraId="3C8FE505">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000000"/>
          <w:lang w:val="en-US"/>
        </w:rPr>
      </w:pPr>
      <w:r>
        <w:rPr>
          <w:rFonts w:hint="eastAsia" w:ascii="宋体" w:hAnsi="宋体" w:eastAsia="宋体" w:cs="宋体"/>
          <w:b w:val="0"/>
          <w:bCs w:val="0"/>
          <w:i w:val="0"/>
          <w:iCs w:val="0"/>
          <w:color w:val="000000"/>
          <w:lang w:val="en-US" w:eastAsia="zh-CN"/>
        </w:rPr>
        <w:t>5、关于自诉案件，下列说法错误的是？</w:t>
      </w:r>
    </w:p>
    <w:p w14:paraId="7F520C99">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default" w:ascii="宋体" w:hAnsi="宋体" w:eastAsia="宋体" w:cs="宋体"/>
          <w:color w:val="000000"/>
          <w:lang w:val="en-US" w:eastAsia="zh-CN"/>
        </w:rPr>
      </w:pPr>
      <w:r>
        <w:rPr>
          <w:rFonts w:hint="eastAsia" w:ascii="宋体" w:hAnsi="宋体" w:eastAsia="宋体" w:cs="宋体"/>
          <w:color w:val="000000"/>
        </w:rPr>
        <w:t>A</w:t>
      </w:r>
      <w:r>
        <w:rPr>
          <w:rFonts w:hint="eastAsia" w:ascii="宋体" w:hAnsi="宋体" w:eastAsia="宋体" w:cs="宋体"/>
          <w:color w:val="000000"/>
          <w:lang w:eastAsia="zh-CN"/>
        </w:rPr>
        <w:t>、</w:t>
      </w:r>
      <w:r>
        <w:rPr>
          <w:rFonts w:hint="eastAsia" w:ascii="宋体" w:hAnsi="宋体" w:eastAsia="宋体" w:cs="宋体"/>
          <w:color w:val="000000"/>
          <w:lang w:val="en-US" w:eastAsia="zh-CN"/>
        </w:rPr>
        <w:t>告诉才处理的案件属于自诉案件</w:t>
      </w:r>
    </w:p>
    <w:p w14:paraId="17878F00">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eastAsia="zh-CN"/>
        </w:rPr>
      </w:pPr>
      <w:r>
        <w:rPr>
          <w:rFonts w:hint="eastAsia" w:ascii="宋体" w:hAnsi="宋体" w:eastAsia="宋体" w:cs="宋体"/>
          <w:color w:val="000000"/>
        </w:rPr>
        <w:t>B</w:t>
      </w:r>
      <w:r>
        <w:rPr>
          <w:rFonts w:hint="eastAsia" w:ascii="宋体" w:hAnsi="宋体" w:eastAsia="宋体" w:cs="宋体"/>
          <w:color w:val="000000"/>
          <w:lang w:eastAsia="zh-CN"/>
        </w:rPr>
        <w:t>、</w:t>
      </w:r>
      <w:r>
        <w:rPr>
          <w:rFonts w:hint="eastAsia" w:ascii="宋体" w:hAnsi="宋体" w:eastAsia="宋体" w:cs="宋体"/>
          <w:color w:val="000000"/>
          <w:lang w:val="en-US" w:eastAsia="zh-CN"/>
        </w:rPr>
        <w:t>人民法院审理自诉案件，可以和解</w:t>
      </w:r>
    </w:p>
    <w:p w14:paraId="71E83BA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C、自诉案件中被告人未被羁押的，应当在受理后六个月以内宣判。</w:t>
      </w:r>
    </w:p>
    <w:p w14:paraId="434CDC1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D、人民法院对所有自诉案件，可以进行调解</w:t>
      </w:r>
    </w:p>
    <w:p w14:paraId="13C3C8D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6、下列关于简易程序的表述正确的是？</w:t>
      </w:r>
    </w:p>
    <w:p w14:paraId="29D79ED3">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color w:val="000000"/>
        </w:rPr>
        <w:t>A</w:t>
      </w:r>
      <w:r>
        <w:rPr>
          <w:rFonts w:hint="eastAsia" w:ascii="宋体" w:hAnsi="宋体" w:eastAsia="宋体" w:cs="宋体"/>
          <w:color w:val="000000"/>
          <w:lang w:eastAsia="zh-CN"/>
        </w:rPr>
        <w:t>、</w:t>
      </w:r>
      <w:r>
        <w:rPr>
          <w:rFonts w:hint="eastAsia" w:ascii="宋体" w:hAnsi="宋体" w:eastAsia="宋体" w:cs="宋体"/>
          <w:b w:val="0"/>
          <w:bCs w:val="0"/>
          <w:color w:val="000000"/>
          <w:kern w:val="2"/>
          <w:sz w:val="21"/>
          <w:szCs w:val="21"/>
          <w:u w:val="none"/>
          <w:vertAlign w:val="baseline"/>
          <w:lang w:val="en-US" w:eastAsia="zh-CN" w:bidi="ar-SA"/>
        </w:rPr>
        <w:t>对可能判处三年有期徒刑以下刑罚的，可以组成合议庭进行审判，也可以由审判员一人独任审判</w:t>
      </w:r>
    </w:p>
    <w:p w14:paraId="4B64EB3B">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B、对可能判处的有期徒刑超过三年的，可以组成合议庭进行审判</w:t>
      </w:r>
    </w:p>
    <w:p w14:paraId="18582B25">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fldChar w:fldCharType="begin"/>
      </w:r>
      <w:r>
        <w:rPr>
          <w:rFonts w:hint="eastAsia" w:ascii="宋体" w:hAnsi="宋体" w:eastAsia="宋体" w:cs="宋体"/>
          <w:b w:val="0"/>
          <w:bCs w:val="0"/>
          <w:color w:val="000000"/>
          <w:kern w:val="2"/>
          <w:sz w:val="21"/>
          <w:szCs w:val="21"/>
          <w:u w:val="none"/>
          <w:vertAlign w:val="baseline"/>
          <w:lang w:val="en-US" w:eastAsia="zh-CN" w:bidi="ar-SA"/>
        </w:rPr>
        <w:instrText xml:space="preserve"> HYPERLINK "javascript:void(0);" </w:instrText>
      </w:r>
      <w:r>
        <w:rPr>
          <w:rFonts w:hint="eastAsia" w:ascii="宋体" w:hAnsi="宋体" w:eastAsia="宋体" w:cs="宋体"/>
          <w:b w:val="0"/>
          <w:bCs w:val="0"/>
          <w:color w:val="000000"/>
          <w:kern w:val="2"/>
          <w:sz w:val="21"/>
          <w:szCs w:val="21"/>
          <w:u w:val="none"/>
          <w:vertAlign w:val="baseline"/>
          <w:lang w:val="en-US" w:eastAsia="zh-CN" w:bidi="ar-SA"/>
        </w:rPr>
        <w:fldChar w:fldCharType="separate"/>
      </w:r>
      <w:r>
        <w:rPr>
          <w:rFonts w:hint="eastAsia" w:ascii="宋体" w:hAnsi="宋体" w:eastAsia="宋体" w:cs="宋体"/>
          <w:b w:val="0"/>
          <w:bCs w:val="0"/>
          <w:color w:val="000000"/>
          <w:kern w:val="2"/>
          <w:sz w:val="21"/>
          <w:szCs w:val="21"/>
          <w:u w:val="none"/>
          <w:vertAlign w:val="baseline"/>
          <w:lang w:val="en-US" w:eastAsia="zh-CN" w:bidi="ar-SA"/>
        </w:rPr>
        <w:fldChar w:fldCharType="end"/>
      </w:r>
      <w:r>
        <w:rPr>
          <w:rFonts w:hint="eastAsia" w:ascii="宋体" w:hAnsi="宋体" w:eastAsia="宋体" w:cs="宋体"/>
          <w:b w:val="0"/>
          <w:bCs w:val="0"/>
          <w:color w:val="000000"/>
          <w:kern w:val="2"/>
          <w:sz w:val="21"/>
          <w:szCs w:val="21"/>
          <w:u w:val="none"/>
          <w:vertAlign w:val="baseline"/>
          <w:lang w:val="en-US" w:eastAsia="zh-CN" w:bidi="ar-SA"/>
        </w:rPr>
        <w:t xml:space="preserve">C、在判决宣告前可以听取被告人的最后陈述意见          </w:t>
      </w:r>
    </w:p>
    <w:p w14:paraId="37A6DEE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适用简易程序审理案件，人民法院应当在受理后三十日以内审结</w:t>
      </w:r>
    </w:p>
    <w:p w14:paraId="5320DA3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color w:val="000000"/>
          <w:lang w:val="en-US" w:eastAsia="zh-CN"/>
        </w:rPr>
        <w:t>7、下</w:t>
      </w:r>
      <w:r>
        <w:rPr>
          <w:rFonts w:hint="eastAsia" w:ascii="宋体" w:hAnsi="宋体" w:eastAsia="宋体" w:cs="宋体"/>
          <w:b w:val="0"/>
          <w:bCs w:val="0"/>
          <w:color w:val="000000"/>
          <w:kern w:val="2"/>
          <w:sz w:val="21"/>
          <w:szCs w:val="21"/>
          <w:u w:val="none"/>
          <w:vertAlign w:val="baseline"/>
          <w:lang w:val="en-US" w:eastAsia="zh-CN" w:bidi="ar-SA"/>
        </w:rPr>
        <w:t>列说法错误的是？</w:t>
      </w:r>
    </w:p>
    <w:p w14:paraId="6B2AEFA9">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A、被告人是盲、聋、哑人的，不能适用速裁程序</w:t>
      </w:r>
    </w:p>
    <w:p w14:paraId="0554ABDB">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B、被告人是未成年人的，可以适用速裁程序</w:t>
      </w:r>
    </w:p>
    <w:p w14:paraId="1B6183DF">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C、案件有重大社会影响的，不能适用速裁程序</w:t>
      </w:r>
    </w:p>
    <w:p w14:paraId="3213CDB6">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D、共同犯罪案件中部分被告人对指控的犯罪事实有异议的，不能适用速裁程序</w:t>
      </w:r>
    </w:p>
    <w:p w14:paraId="55A21C3E">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四、简答题</w:t>
      </w:r>
    </w:p>
    <w:p w14:paraId="65CF4693">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i w:val="0"/>
          <w:iCs w:val="0"/>
          <w:color w:val="000000"/>
          <w:lang w:val="en-US" w:eastAsia="zh-CN"/>
        </w:rPr>
        <w:t>1、</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人民检察院审查案件的时候，必须查明的内容包括哪些？</w:t>
      </w:r>
    </w:p>
    <w:p w14:paraId="36C7FF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2、</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t>法庭审判过程中哪些情况下可以延期审理？</w: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begin"/>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instrText xml:space="preserve"> HYPERLINK "javascript:void(0);" </w:instrText>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separate"/>
      </w:r>
      <w: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fldChar w:fldCharType="end"/>
      </w:r>
    </w:p>
    <w:p w14:paraId="4D48EC06">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bCs/>
          <w:color w:val="000000"/>
          <w:kern w:val="2"/>
          <w:sz w:val="21"/>
          <w:szCs w:val="21"/>
          <w:u w:val="none"/>
          <w:vertAlign w:val="baseline"/>
          <w:lang w:val="en-US" w:eastAsia="zh-CN" w:bidi="ar-SA"/>
        </w:rPr>
      </w:pPr>
      <w:r>
        <w:rPr>
          <w:rFonts w:hint="eastAsia" w:ascii="宋体" w:hAnsi="宋体" w:eastAsia="宋体" w:cs="宋体"/>
          <w:b/>
          <w:bCs/>
          <w:color w:val="000000"/>
          <w:kern w:val="2"/>
          <w:sz w:val="21"/>
          <w:szCs w:val="21"/>
          <w:u w:val="none"/>
          <w:vertAlign w:val="baseline"/>
          <w:lang w:val="en-US" w:eastAsia="zh-CN" w:bidi="ar-SA"/>
        </w:rPr>
        <w:t>五、论述题</w:t>
      </w:r>
      <w:bookmarkStart w:id="7" w:name="OLE_LINK4"/>
    </w:p>
    <w:p w14:paraId="5E57AA54">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i w:val="0"/>
          <w:iCs w:val="0"/>
          <w:color w:val="000000"/>
          <w:lang w:val="en-US" w:eastAsia="zh-CN"/>
        </w:rPr>
        <w:t>1、</w:t>
      </w:r>
      <w:bookmarkEnd w:id="7"/>
      <w:bookmarkStart w:id="8" w:name="_Hlk26132368"/>
      <w:r>
        <w:rPr>
          <w:rFonts w:hint="eastAsia"/>
        </w:rPr>
        <w:t>论述上诉不加刑原则</w:t>
      </w:r>
      <w:bookmarkEnd w:id="8"/>
      <w:r>
        <w:rPr>
          <w:rFonts w:hint="eastAsia"/>
          <w:lang w:eastAsia="zh-CN"/>
        </w:rPr>
        <w:t>。</w:t>
      </w:r>
    </w:p>
    <w:p w14:paraId="5A30D417">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b w:val="0"/>
          <w:bCs w:val="0"/>
          <w:color w:val="000000"/>
          <w:sz w:val="21"/>
          <w:szCs w:val="21"/>
          <w:vertAlign w:val="baseline"/>
          <w:lang w:val="en-US" w:eastAsia="zh-CN"/>
        </w:rPr>
      </w:pPr>
    </w:p>
    <w:p w14:paraId="10D646E5">
      <w:pPr>
        <w:rPr>
          <w:rFonts w:hint="default" w:ascii="宋体" w:hAnsi="宋体" w:eastAsia="宋体" w:cs="宋体"/>
          <w:b w:val="0"/>
          <w:bCs w:val="0"/>
          <w:color w:val="000000"/>
          <w:kern w:val="2"/>
          <w:sz w:val="21"/>
          <w:szCs w:val="21"/>
          <w:u w:val="none"/>
          <w:vertAlign w:val="baseline"/>
          <w:lang w:val="en-US" w:eastAsia="zh-CN" w:bidi="ar-SA"/>
        </w:rPr>
      </w:pPr>
      <w:r>
        <w:rPr>
          <w:rFonts w:hint="eastAsia" w:ascii="宋体" w:hAnsi="宋体" w:eastAsia="宋体" w:cs="宋体"/>
          <w:b w:val="0"/>
          <w:bCs w:val="0"/>
          <w:color w:val="000000"/>
          <w:kern w:val="2"/>
          <w:sz w:val="21"/>
          <w:szCs w:val="21"/>
          <w:u w:val="none"/>
          <w:vertAlign w:val="baseline"/>
          <w:lang w:val="en-US" w:eastAsia="zh-CN" w:bidi="ar-SA"/>
        </w:rPr>
        <w:t>答案</w:t>
      </w:r>
    </w:p>
    <w:p w14:paraId="0ACE7299">
      <w:pPr>
        <w:numPr>
          <w:ilvl w:val="0"/>
          <w:numId w:val="0"/>
        </w:numPr>
        <w:spacing w:line="360" w:lineRule="auto"/>
        <w:rPr>
          <w:rFonts w:hint="eastAsia" w:ascii="宋体" w:hAnsi="宋体" w:eastAsia="宋体" w:cs="宋体"/>
          <w:b w:val="0"/>
          <w:bCs w:val="0"/>
          <w:i w:val="0"/>
          <w:iCs w:val="0"/>
          <w:lang w:val="en-US" w:eastAsia="zh-CN"/>
        </w:rPr>
      </w:pPr>
      <w:bookmarkStart w:id="9" w:name="OLE_LINK3"/>
      <w:r>
        <w:rPr>
          <w:rFonts w:hint="eastAsia" w:ascii="宋体" w:hAnsi="宋体" w:eastAsia="宋体" w:cs="宋体"/>
          <w:b/>
          <w:bCs/>
          <w:i w:val="0"/>
          <w:iCs w:val="0"/>
          <w:lang w:val="en-US" w:eastAsia="zh-CN"/>
        </w:rPr>
        <w:t>一、填空题</w:t>
      </w:r>
    </w:p>
    <w:p w14:paraId="090013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1、</w:t>
      </w:r>
      <w:r>
        <w:rPr>
          <w:rFonts w:hint="eastAsia" w:ascii="宋体" w:hAnsi="宋体" w:eastAsia="宋体" w:cs="宋体"/>
          <w:b w:val="0"/>
          <w:bCs w:val="0"/>
          <w:color w:val="000000"/>
          <w:sz w:val="21"/>
          <w:szCs w:val="21"/>
          <w:u w:val="none"/>
          <w:vertAlign w:val="baseline"/>
          <w:lang w:val="en-US" w:eastAsia="zh-CN"/>
        </w:rPr>
        <w:t>惩罚犯罪  宪法</w:t>
      </w:r>
    </w:p>
    <w:p w14:paraId="5BEDF8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2、</w:t>
      </w:r>
      <w:r>
        <w:rPr>
          <w:rFonts w:hint="eastAsia" w:ascii="宋体" w:hAnsi="宋体" w:eastAsia="宋体" w:cs="宋体"/>
          <w:b w:val="0"/>
          <w:bCs w:val="0"/>
          <w:color w:val="000000"/>
          <w:sz w:val="21"/>
          <w:szCs w:val="21"/>
          <w:u w:val="none"/>
          <w:vertAlign w:val="baseline"/>
          <w:lang w:val="en-US" w:eastAsia="zh-CN"/>
        </w:rPr>
        <w:t>审判权   行政机关   社会团体</w:t>
      </w:r>
    </w:p>
    <w:p w14:paraId="49755E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r>
        <w:rPr>
          <w:rFonts w:hint="eastAsia" w:ascii="宋体" w:hAnsi="宋体" w:eastAsia="宋体" w:cs="宋体"/>
          <w:b w:val="0"/>
          <w:bCs w:val="0"/>
          <w:color w:val="000000"/>
          <w:sz w:val="21"/>
          <w:szCs w:val="21"/>
          <w:u w:val="none"/>
          <w:vertAlign w:val="baseline"/>
          <w:lang w:val="en-US" w:eastAsia="zh-CN"/>
        </w:rPr>
        <w:t>两审终审</w:t>
      </w:r>
    </w:p>
    <w:p w14:paraId="492C4F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4、</w:t>
      </w:r>
      <w:r>
        <w:rPr>
          <w:rFonts w:hint="eastAsia" w:ascii="宋体" w:hAnsi="宋体" w:eastAsia="宋体" w:cs="宋体"/>
          <w:b w:val="0"/>
          <w:bCs w:val="0"/>
          <w:color w:val="000000"/>
          <w:sz w:val="21"/>
          <w:szCs w:val="21"/>
          <w:u w:val="none"/>
          <w:vertAlign w:val="baseline"/>
          <w:lang w:val="en-US" w:eastAsia="zh-CN"/>
        </w:rPr>
        <w:t>自己的罪行  从宽处理</w:t>
      </w:r>
    </w:p>
    <w:p w14:paraId="1C5364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5、</w:t>
      </w:r>
      <w:r>
        <w:rPr>
          <w:rFonts w:hint="eastAsia" w:ascii="宋体" w:hAnsi="宋体" w:eastAsia="宋体" w:cs="宋体"/>
          <w:b w:val="0"/>
          <w:bCs w:val="0"/>
          <w:color w:val="000000"/>
          <w:sz w:val="21"/>
          <w:szCs w:val="21"/>
          <w:u w:val="none"/>
          <w:vertAlign w:val="baseline"/>
          <w:lang w:val="en-US" w:eastAsia="zh-CN"/>
        </w:rPr>
        <w:t>犯罪地   被告人居住地   被告人居住地</w:t>
      </w:r>
    </w:p>
    <w:p w14:paraId="6F8FFE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sz w:val="21"/>
          <w:szCs w:val="21"/>
          <w:u w:val="none"/>
          <w:vertAlign w:val="baseline"/>
          <w:lang w:val="en-US" w:eastAsia="zh-CN"/>
        </w:rPr>
      </w:pPr>
      <w:r>
        <w:rPr>
          <w:rFonts w:hint="eastAsia" w:ascii="宋体" w:hAnsi="宋体" w:eastAsia="宋体" w:cs="宋体"/>
          <w:b w:val="0"/>
          <w:bCs w:val="0"/>
          <w:lang w:val="en-US" w:eastAsia="zh-CN"/>
        </w:rPr>
        <w:t>6、</w:t>
      </w:r>
      <w:r>
        <w:rPr>
          <w:rFonts w:hint="eastAsia" w:ascii="宋体" w:hAnsi="宋体" w:eastAsia="宋体" w:cs="宋体"/>
          <w:b w:val="0"/>
          <w:bCs w:val="0"/>
          <w:color w:val="000000"/>
          <w:sz w:val="21"/>
          <w:szCs w:val="21"/>
          <w:u w:val="none"/>
          <w:vertAlign w:val="baseline"/>
          <w:lang w:val="en-US" w:eastAsia="zh-CN"/>
        </w:rPr>
        <w:t>院长   检察长   本院审判委员会   人民检察院检察委员会</w:t>
      </w:r>
    </w:p>
    <w:p w14:paraId="638870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auto"/>
          <w:sz w:val="21"/>
          <w:szCs w:val="21"/>
          <w:u w:val="none"/>
          <w:vertAlign w:val="baseline"/>
          <w:lang w:val="en-US"/>
        </w:rPr>
      </w:pPr>
      <w:r>
        <w:rPr>
          <w:rFonts w:hint="eastAsia" w:ascii="宋体" w:hAnsi="宋体" w:eastAsia="宋体" w:cs="宋体"/>
          <w:b w:val="0"/>
          <w:bCs w:val="0"/>
          <w:color w:val="auto"/>
          <w:sz w:val="21"/>
          <w:szCs w:val="21"/>
          <w:u w:val="none"/>
          <w:vertAlign w:val="baseline"/>
          <w:lang w:val="en-US" w:eastAsia="zh-CN"/>
        </w:rPr>
        <w:t>7、</w:t>
      </w:r>
      <w:r>
        <w:rPr>
          <w:rFonts w:hint="eastAsia" w:ascii="宋体" w:hAnsi="宋体" w:eastAsia="宋体" w:cs="宋体"/>
          <w:b w:val="0"/>
          <w:bCs w:val="0"/>
          <w:color w:val="000000"/>
          <w:sz w:val="21"/>
          <w:szCs w:val="21"/>
          <w:u w:val="none"/>
          <w:vertAlign w:val="baseline"/>
          <w:lang w:val="en-US" w:eastAsia="zh-CN"/>
        </w:rPr>
        <w:t>开除公职  执业证书   辩护人   近亲属</w:t>
      </w:r>
    </w:p>
    <w:p w14:paraId="18C737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二、判断题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0"/>
        <w:gridCol w:w="850"/>
        <w:gridCol w:w="851"/>
        <w:gridCol w:w="851"/>
        <w:gridCol w:w="850"/>
      </w:tblGrid>
      <w:tr w14:paraId="63A9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03CBC4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1</w:t>
            </w:r>
          </w:p>
        </w:tc>
        <w:tc>
          <w:tcPr>
            <w:tcW w:w="850" w:type="dxa"/>
            <w:noWrap w:val="0"/>
            <w:vAlign w:val="top"/>
          </w:tcPr>
          <w:p w14:paraId="24BC37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2</w:t>
            </w:r>
          </w:p>
        </w:tc>
        <w:tc>
          <w:tcPr>
            <w:tcW w:w="850" w:type="dxa"/>
            <w:noWrap w:val="0"/>
            <w:vAlign w:val="top"/>
          </w:tcPr>
          <w:p w14:paraId="7E3FB3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3</w:t>
            </w:r>
          </w:p>
        </w:tc>
        <w:tc>
          <w:tcPr>
            <w:tcW w:w="851" w:type="dxa"/>
            <w:noWrap w:val="0"/>
            <w:vAlign w:val="top"/>
          </w:tcPr>
          <w:p w14:paraId="575303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4</w:t>
            </w:r>
          </w:p>
        </w:tc>
        <w:tc>
          <w:tcPr>
            <w:tcW w:w="851" w:type="dxa"/>
            <w:noWrap w:val="0"/>
            <w:vAlign w:val="top"/>
          </w:tcPr>
          <w:p w14:paraId="3AFCC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5</w:t>
            </w:r>
          </w:p>
        </w:tc>
        <w:tc>
          <w:tcPr>
            <w:tcW w:w="850" w:type="dxa"/>
            <w:noWrap w:val="0"/>
            <w:vAlign w:val="top"/>
          </w:tcPr>
          <w:p w14:paraId="765AEF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6</w:t>
            </w:r>
          </w:p>
        </w:tc>
      </w:tr>
      <w:tr w14:paraId="2CCE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08D938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649F8C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00816F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1" w:type="dxa"/>
            <w:noWrap w:val="0"/>
            <w:vAlign w:val="top"/>
          </w:tcPr>
          <w:p w14:paraId="4E6825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1" w:type="dxa"/>
            <w:noWrap w:val="0"/>
            <w:vAlign w:val="top"/>
          </w:tcPr>
          <w:p w14:paraId="362018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vertAlign w:val="baseline"/>
                <w:lang w:val="en-US" w:eastAsia="zh-CN"/>
              </w:rPr>
            </w:pPr>
            <w:r>
              <w:rPr>
                <w:rFonts w:hint="default" w:ascii="Arial" w:hAnsi="Arial" w:eastAsia="宋体" w:cs="Arial"/>
                <w:b/>
                <w:bCs/>
                <w:i w:val="0"/>
                <w:iCs w:val="0"/>
                <w:lang w:val="en-US" w:eastAsia="zh-CN"/>
              </w:rPr>
              <w:t>×</w:t>
            </w:r>
          </w:p>
        </w:tc>
        <w:tc>
          <w:tcPr>
            <w:tcW w:w="850" w:type="dxa"/>
            <w:noWrap w:val="0"/>
            <w:vAlign w:val="top"/>
          </w:tcPr>
          <w:p w14:paraId="6B1339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i w:val="0"/>
                <w:iCs w:val="0"/>
                <w:kern w:val="2"/>
                <w:sz w:val="21"/>
                <w:szCs w:val="24"/>
                <w:vertAlign w:val="baseline"/>
                <w:lang w:val="en-US" w:eastAsia="zh-CN" w:bidi="ar-SA"/>
              </w:rPr>
            </w:pPr>
            <w:r>
              <w:rPr>
                <w:rFonts w:hint="default" w:ascii="Arial" w:hAnsi="Arial" w:eastAsia="宋体" w:cs="Arial"/>
                <w:b/>
                <w:bCs/>
                <w:i w:val="0"/>
                <w:iCs w:val="0"/>
                <w:lang w:val="en-US" w:eastAsia="zh-CN"/>
              </w:rPr>
              <w:t>√</w:t>
            </w:r>
          </w:p>
        </w:tc>
      </w:tr>
    </w:tbl>
    <w:p w14:paraId="36FD85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三、选择题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0"/>
        <w:gridCol w:w="850"/>
        <w:gridCol w:w="850"/>
        <w:gridCol w:w="850"/>
        <w:gridCol w:w="850"/>
        <w:gridCol w:w="850"/>
      </w:tblGrid>
      <w:tr w14:paraId="24CE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5C40AB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1</w:t>
            </w:r>
          </w:p>
        </w:tc>
        <w:tc>
          <w:tcPr>
            <w:tcW w:w="850" w:type="dxa"/>
            <w:noWrap w:val="0"/>
            <w:vAlign w:val="top"/>
          </w:tcPr>
          <w:p w14:paraId="484B7D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2</w:t>
            </w:r>
          </w:p>
        </w:tc>
        <w:tc>
          <w:tcPr>
            <w:tcW w:w="850" w:type="dxa"/>
            <w:noWrap w:val="0"/>
            <w:vAlign w:val="top"/>
          </w:tcPr>
          <w:p w14:paraId="6FCAE2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3</w:t>
            </w:r>
          </w:p>
        </w:tc>
        <w:tc>
          <w:tcPr>
            <w:tcW w:w="850" w:type="dxa"/>
            <w:noWrap w:val="0"/>
            <w:vAlign w:val="top"/>
          </w:tcPr>
          <w:p w14:paraId="1D3D6B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4</w:t>
            </w:r>
          </w:p>
        </w:tc>
        <w:tc>
          <w:tcPr>
            <w:tcW w:w="850" w:type="dxa"/>
            <w:noWrap w:val="0"/>
            <w:vAlign w:val="top"/>
          </w:tcPr>
          <w:p w14:paraId="334E71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5</w:t>
            </w:r>
          </w:p>
        </w:tc>
        <w:tc>
          <w:tcPr>
            <w:tcW w:w="850" w:type="dxa"/>
            <w:noWrap w:val="0"/>
            <w:vAlign w:val="top"/>
          </w:tcPr>
          <w:p w14:paraId="3FD5E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6</w:t>
            </w:r>
          </w:p>
        </w:tc>
        <w:tc>
          <w:tcPr>
            <w:tcW w:w="850" w:type="dxa"/>
            <w:noWrap w:val="0"/>
            <w:vAlign w:val="top"/>
          </w:tcPr>
          <w:p w14:paraId="0EF18A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7</w:t>
            </w:r>
          </w:p>
        </w:tc>
      </w:tr>
      <w:tr w14:paraId="2863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top"/>
          </w:tcPr>
          <w:p w14:paraId="718E8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A</w:t>
            </w:r>
          </w:p>
        </w:tc>
        <w:tc>
          <w:tcPr>
            <w:tcW w:w="850" w:type="dxa"/>
            <w:noWrap w:val="0"/>
            <w:vAlign w:val="top"/>
          </w:tcPr>
          <w:p w14:paraId="5CAEA3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B</w:t>
            </w:r>
          </w:p>
        </w:tc>
        <w:tc>
          <w:tcPr>
            <w:tcW w:w="850" w:type="dxa"/>
            <w:noWrap w:val="0"/>
            <w:vAlign w:val="top"/>
          </w:tcPr>
          <w:p w14:paraId="5A4157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C</w:t>
            </w:r>
          </w:p>
        </w:tc>
        <w:tc>
          <w:tcPr>
            <w:tcW w:w="850" w:type="dxa"/>
            <w:noWrap w:val="0"/>
            <w:vAlign w:val="top"/>
          </w:tcPr>
          <w:p w14:paraId="4C359C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D</w:t>
            </w:r>
          </w:p>
        </w:tc>
        <w:tc>
          <w:tcPr>
            <w:tcW w:w="850" w:type="dxa"/>
            <w:noWrap w:val="0"/>
            <w:vAlign w:val="top"/>
          </w:tcPr>
          <w:p w14:paraId="62F8A6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D</w:t>
            </w:r>
          </w:p>
        </w:tc>
        <w:tc>
          <w:tcPr>
            <w:tcW w:w="850" w:type="dxa"/>
            <w:noWrap w:val="0"/>
            <w:vAlign w:val="top"/>
          </w:tcPr>
          <w:p w14:paraId="75116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A</w:t>
            </w:r>
          </w:p>
        </w:tc>
        <w:tc>
          <w:tcPr>
            <w:tcW w:w="850" w:type="dxa"/>
            <w:noWrap w:val="0"/>
            <w:vAlign w:val="top"/>
          </w:tcPr>
          <w:p w14:paraId="178A55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i w:val="0"/>
                <w:iCs w:val="0"/>
                <w:vertAlign w:val="baseline"/>
                <w:lang w:val="en-US" w:eastAsia="zh-CN"/>
              </w:rPr>
            </w:pPr>
            <w:r>
              <w:rPr>
                <w:rFonts w:hint="eastAsia" w:ascii="宋体" w:hAnsi="宋体" w:eastAsia="宋体" w:cs="宋体"/>
                <w:b w:val="0"/>
                <w:bCs w:val="0"/>
                <w:i w:val="0"/>
                <w:iCs w:val="0"/>
                <w:vertAlign w:val="baseline"/>
                <w:lang w:val="en-US" w:eastAsia="zh-CN"/>
              </w:rPr>
              <w:t>B</w:t>
            </w:r>
          </w:p>
        </w:tc>
      </w:tr>
    </w:tbl>
    <w:p w14:paraId="1B8F0B63">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四、简答题</w:t>
      </w:r>
    </w:p>
    <w:bookmarkEnd w:id="9"/>
    <w:p w14:paraId="193515D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bCs/>
          <w:i w:val="0"/>
          <w:iCs w:val="0"/>
          <w:lang w:val="en-US" w:eastAsia="zh-CN"/>
        </w:rPr>
        <w:t>1、</w:t>
      </w:r>
      <w:r>
        <w:rPr>
          <w:rFonts w:hint="eastAsia" w:ascii="宋体" w:hAnsi="宋体" w:eastAsia="宋体" w:cs="宋体"/>
          <w:b w:val="0"/>
          <w:bCs w:val="0"/>
          <w:color w:val="000000"/>
          <w:sz w:val="21"/>
          <w:szCs w:val="21"/>
          <w:vertAlign w:val="baseline"/>
          <w:lang w:val="en-US" w:eastAsia="zh-CN"/>
        </w:rPr>
        <w:t>人民检察院审查案件的时候，必须查明：（第一百七十一条</w:t>
      </w:r>
      <w:bookmarkStart w:id="10" w:name="tiao_171_kuan_1"/>
      <w:bookmarkEnd w:id="10"/>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r>
        <w:rPr>
          <w:rFonts w:hint="eastAsia" w:ascii="宋体" w:hAnsi="宋体" w:eastAsia="宋体" w:cs="宋体"/>
          <w:b w:val="0"/>
          <w:bCs w:val="0"/>
          <w:color w:val="000000"/>
          <w:sz w:val="21"/>
          <w:szCs w:val="21"/>
          <w:vertAlign w:val="baseline"/>
          <w:lang w:val="en-US" w:eastAsia="zh-CN"/>
        </w:rPr>
        <w:t>）</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6255D9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rPr>
      </w:pPr>
      <w:bookmarkStart w:id="11" w:name="tiao_149_kuan_1_xiang_1"/>
      <w:bookmarkEnd w:id="11"/>
      <w:r>
        <w:rPr>
          <w:rFonts w:hint="eastAsia" w:ascii="宋体" w:hAnsi="宋体" w:eastAsia="宋体" w:cs="宋体"/>
          <w:b w:val="0"/>
          <w:bCs w:val="0"/>
          <w:color w:val="000000"/>
          <w:sz w:val="21"/>
          <w:szCs w:val="21"/>
          <w:vertAlign w:val="baseline"/>
        </w:rPr>
        <w:t>①</w:t>
      </w:r>
      <w:bookmarkStart w:id="12" w:name="tiao_171_kuan_1_xiang_1"/>
      <w:bookmarkEnd w:id="12"/>
      <w:r>
        <w:rPr>
          <w:rFonts w:hint="eastAsia" w:ascii="宋体" w:hAnsi="宋体" w:eastAsia="宋体" w:cs="宋体"/>
          <w:b w:val="0"/>
          <w:bCs w:val="0"/>
          <w:color w:val="000000"/>
          <w:sz w:val="21"/>
          <w:szCs w:val="21"/>
          <w:vertAlign w:val="baseline"/>
          <w:lang w:val="en-US" w:eastAsia="zh-CN"/>
        </w:rPr>
        <w:t>犯罪事实、情节是否清楚，证据是否确实、充分，犯罪性质和罪名的认定是否正确；</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bookmarkStart w:id="13" w:name="tiao_171_kuan_1_xiang_2"/>
      <w:bookmarkEnd w:id="13"/>
      <w:r>
        <w:rPr>
          <w:rFonts w:hint="eastAsia" w:ascii="宋体" w:hAnsi="宋体" w:eastAsia="宋体" w:cs="宋体"/>
          <w:b w:val="0"/>
          <w:bCs w:val="0"/>
          <w:color w:val="000000"/>
          <w:sz w:val="21"/>
          <w:szCs w:val="21"/>
          <w:vertAlign w:val="baseline"/>
          <w:lang w:val="en-US" w:eastAsia="zh-CN"/>
        </w:rPr>
        <w:t>　　</w:t>
      </w:r>
    </w:p>
    <w:p w14:paraId="4F961D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4" w:name="tiao_149_kuan_1_xiang_2"/>
      <w:bookmarkEnd w:id="14"/>
      <w:r>
        <w:rPr>
          <w:rFonts w:hint="eastAsia" w:ascii="宋体" w:hAnsi="宋体" w:eastAsia="宋体" w:cs="宋体"/>
          <w:b w:val="0"/>
          <w:bCs w:val="0"/>
          <w:color w:val="000000"/>
          <w:sz w:val="21"/>
          <w:szCs w:val="21"/>
          <w:vertAlign w:val="baseline"/>
          <w:lang w:val="en-US" w:eastAsia="zh-CN"/>
        </w:rPr>
        <w:t>②有无遗漏罪行和其他应当追究刑事责任的人；</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14796A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5" w:name="tiao_149_kuan_1_xiang_3"/>
      <w:bookmarkEnd w:id="15"/>
      <w:r>
        <w:rPr>
          <w:rFonts w:hint="eastAsia" w:ascii="宋体" w:hAnsi="宋体" w:eastAsia="宋体" w:cs="宋体"/>
          <w:b w:val="0"/>
          <w:bCs w:val="0"/>
          <w:color w:val="000000"/>
          <w:sz w:val="21"/>
          <w:szCs w:val="21"/>
          <w:vertAlign w:val="baseline"/>
          <w:lang w:val="en-US" w:eastAsia="zh-CN"/>
        </w:rPr>
        <w:t>③是否属于不应追究刑事责任的；</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7057E1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6" w:name="tiao_149_kuan_1_xiang_4"/>
      <w:bookmarkEnd w:id="16"/>
      <w:r>
        <w:rPr>
          <w:rFonts w:hint="eastAsia" w:ascii="宋体" w:hAnsi="宋体" w:eastAsia="宋体" w:cs="宋体"/>
          <w:b w:val="0"/>
          <w:bCs w:val="0"/>
          <w:color w:val="000000"/>
          <w:sz w:val="21"/>
          <w:szCs w:val="21"/>
          <w:vertAlign w:val="baseline"/>
          <w:lang w:val="en-US" w:eastAsia="zh-CN"/>
        </w:rPr>
        <w:t>④有无附带民事诉讼；</w:t>
      </w:r>
    </w:p>
    <w:p w14:paraId="3DC27C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⑤侦查活动是否合法。</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33E81A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2、</w:t>
      </w:r>
      <w:bookmarkStart w:id="17" w:name="tiao_204_kuan_1"/>
      <w:bookmarkEnd w:id="17"/>
      <w:r>
        <w:rPr>
          <w:rFonts w:hint="eastAsia" w:ascii="宋体" w:hAnsi="宋体" w:eastAsia="宋体" w:cs="宋体"/>
          <w:b w:val="0"/>
          <w:bCs w:val="0"/>
          <w:color w:val="000000"/>
          <w:sz w:val="21"/>
          <w:szCs w:val="21"/>
          <w:vertAlign w:val="baseline"/>
          <w:lang w:val="en-US" w:eastAsia="zh-CN"/>
        </w:rPr>
        <w:t>在法庭审判过程中，遇有下列情形之一，影响审判进行的，可以延期审理：（第二百零四条）</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bookmarkStart w:id="18" w:name="tiao_204_kuan_1_xiang_1"/>
      <w:bookmarkEnd w:id="18"/>
    </w:p>
    <w:p w14:paraId="0DF794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19" w:name="tiao_166_kuan_1_xiang_1"/>
      <w:bookmarkEnd w:id="19"/>
      <w:r>
        <w:rPr>
          <w:rFonts w:hint="eastAsia" w:ascii="宋体" w:hAnsi="宋体" w:eastAsia="宋体" w:cs="宋体"/>
          <w:b w:val="0"/>
          <w:bCs w:val="0"/>
          <w:color w:val="000000"/>
          <w:sz w:val="21"/>
          <w:szCs w:val="21"/>
          <w:vertAlign w:val="baseline"/>
          <w:lang w:val="en-US" w:eastAsia="zh-CN"/>
        </w:rPr>
        <w:t>①需要通知新的证人到庭，调取新的物证，重新鉴定或者勘验的；</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07B732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20" w:name="tiao_166_kuan_1_xiang_2"/>
      <w:bookmarkEnd w:id="20"/>
      <w:r>
        <w:rPr>
          <w:rFonts w:hint="eastAsia" w:ascii="宋体" w:hAnsi="宋体" w:eastAsia="宋体" w:cs="宋体"/>
          <w:b w:val="0"/>
          <w:bCs w:val="0"/>
          <w:color w:val="000000"/>
          <w:sz w:val="21"/>
          <w:szCs w:val="21"/>
          <w:vertAlign w:val="baseline"/>
          <w:lang w:val="en-US" w:eastAsia="zh-CN"/>
        </w:rPr>
        <w:t>②检察人员发现提起公诉的案件需要补充侦查，提出建议的；</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1AED4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color w:val="000000"/>
          <w:sz w:val="21"/>
          <w:szCs w:val="21"/>
          <w:vertAlign w:val="baseline"/>
          <w:lang w:val="en-US" w:eastAsia="zh-CN"/>
        </w:rPr>
      </w:pPr>
      <w:bookmarkStart w:id="21" w:name="tiao_166_kuan_1_xiang_3"/>
      <w:bookmarkEnd w:id="21"/>
      <w:r>
        <w:rPr>
          <w:rFonts w:hint="eastAsia" w:ascii="宋体" w:hAnsi="宋体" w:eastAsia="宋体" w:cs="宋体"/>
          <w:b w:val="0"/>
          <w:bCs w:val="0"/>
          <w:color w:val="000000"/>
          <w:sz w:val="21"/>
          <w:szCs w:val="21"/>
          <w:vertAlign w:val="baseline"/>
          <w:lang w:val="en-US" w:eastAsia="zh-CN"/>
        </w:rPr>
        <w:t>③由于申请回避而不能进行审判的。</w:t>
      </w:r>
      <w:r>
        <w:rPr>
          <w:rFonts w:hint="eastAsia" w:ascii="宋体" w:hAnsi="宋体" w:eastAsia="宋体" w:cs="宋体"/>
          <w:b w:val="0"/>
          <w:bCs w:val="0"/>
          <w:color w:val="000000"/>
          <w:sz w:val="21"/>
          <w:szCs w:val="21"/>
          <w:vertAlign w:val="baseline"/>
          <w:lang w:val="en-US" w:eastAsia="zh-CN"/>
        </w:rPr>
        <w:fldChar w:fldCharType="begin"/>
      </w:r>
      <w:r>
        <w:rPr>
          <w:rFonts w:hint="eastAsia" w:ascii="宋体" w:hAnsi="宋体" w:eastAsia="宋体" w:cs="宋体"/>
          <w:b w:val="0"/>
          <w:bCs w:val="0"/>
          <w:color w:val="000000"/>
          <w:sz w:val="21"/>
          <w:szCs w:val="21"/>
          <w:vertAlign w:val="baseline"/>
          <w:lang w:val="en-US" w:eastAsia="zh-CN"/>
        </w:rPr>
        <w:instrText xml:space="preserve"> HYPERLINK "javascript:void(0);" </w:instrText>
      </w:r>
      <w:r>
        <w:rPr>
          <w:rFonts w:hint="eastAsia" w:ascii="宋体" w:hAnsi="宋体" w:eastAsia="宋体" w:cs="宋体"/>
          <w:b w:val="0"/>
          <w:bCs w:val="0"/>
          <w:color w:val="000000"/>
          <w:sz w:val="21"/>
          <w:szCs w:val="21"/>
          <w:vertAlign w:val="baseline"/>
          <w:lang w:val="en-US" w:eastAsia="zh-CN"/>
        </w:rPr>
        <w:fldChar w:fldCharType="separate"/>
      </w:r>
      <w:r>
        <w:rPr>
          <w:rFonts w:hint="eastAsia" w:ascii="宋体" w:hAnsi="宋体" w:eastAsia="宋体" w:cs="宋体"/>
          <w:b w:val="0"/>
          <w:bCs w:val="0"/>
          <w:color w:val="000000"/>
          <w:sz w:val="21"/>
          <w:szCs w:val="21"/>
          <w:vertAlign w:val="baseline"/>
          <w:lang w:val="en-US" w:eastAsia="zh-CN"/>
        </w:rPr>
        <w:fldChar w:fldCharType="end"/>
      </w:r>
    </w:p>
    <w:p w14:paraId="2B528E18">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bookmarkStart w:id="22" w:name="tiao_166_kuan_1_xiang_6"/>
      <w:bookmarkEnd w:id="22"/>
    </w:p>
    <w:p w14:paraId="07CC148C">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0" w:firstLineChars="100"/>
        <w:jc w:val="both"/>
        <w:textAlignment w:val="baseline"/>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rPr>
        <w:fldChar w:fldCharType="begin"/>
      </w:r>
      <w:r>
        <w:rPr>
          <w:rFonts w:hint="eastAsia" w:ascii="宋体" w:hAnsi="宋体" w:eastAsia="宋体" w:cs="宋体"/>
          <w:b w:val="0"/>
          <w:bCs w:val="0"/>
          <w:color w:val="000000"/>
          <w:sz w:val="21"/>
          <w:szCs w:val="21"/>
          <w:vertAlign w:val="baseline"/>
        </w:rPr>
        <w:instrText xml:space="preserve"> HYPERLINK "javascript:void(0);" </w:instrText>
      </w:r>
      <w:r>
        <w:rPr>
          <w:rFonts w:hint="eastAsia" w:ascii="宋体" w:hAnsi="宋体" w:eastAsia="宋体" w:cs="宋体"/>
          <w:b w:val="0"/>
          <w:bCs w:val="0"/>
          <w:color w:val="000000"/>
          <w:sz w:val="21"/>
          <w:szCs w:val="21"/>
          <w:vertAlign w:val="baseline"/>
        </w:rPr>
        <w:fldChar w:fldCharType="separate"/>
      </w:r>
      <w:r>
        <w:rPr>
          <w:rFonts w:hint="eastAsia" w:ascii="宋体" w:hAnsi="宋体" w:eastAsia="宋体" w:cs="宋体"/>
          <w:b w:val="0"/>
          <w:bCs w:val="0"/>
          <w:color w:val="000000"/>
          <w:sz w:val="21"/>
          <w:szCs w:val="21"/>
          <w:vertAlign w:val="baseline"/>
        </w:rPr>
        <w:fldChar w:fldCharType="end"/>
      </w:r>
    </w:p>
    <w:p w14:paraId="286B3CD3">
      <w:pPr>
        <w:pStyle w:val="5"/>
        <w:keepNext w:val="0"/>
        <w:keepLines w:val="0"/>
        <w:pageBreakBefore w:val="0"/>
        <w:widowControl/>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firstLine="211" w:firstLineChars="100"/>
        <w:jc w:val="both"/>
        <w:textAlignment w:val="baseline"/>
        <w:rPr>
          <w:rFonts w:hint="eastAsia" w:ascii="宋体" w:hAnsi="宋体" w:eastAsia="宋体" w:cs="宋体"/>
          <w:b/>
          <w:bCs/>
          <w:i w:val="0"/>
          <w:iCs w:val="0"/>
          <w:lang w:val="en-US" w:eastAsia="zh-CN"/>
        </w:rPr>
      </w:pPr>
      <w:r>
        <w:rPr>
          <w:rFonts w:hint="eastAsia" w:ascii="宋体" w:hAnsi="宋体" w:eastAsia="宋体" w:cs="宋体"/>
          <w:b/>
          <w:bCs/>
          <w:color w:val="auto"/>
          <w:kern w:val="2"/>
          <w:sz w:val="21"/>
          <w:szCs w:val="21"/>
          <w:u w:val="none"/>
          <w:vertAlign w:val="baseline"/>
          <w:lang w:val="en-US" w:eastAsia="zh-CN" w:bidi="ar-SA"/>
        </w:rPr>
        <w:t>论述题</w:t>
      </w:r>
    </w:p>
    <w:p w14:paraId="0599FE37">
      <w:pPr>
        <w:tabs>
          <w:tab w:val="left" w:pos="1050"/>
          <w:tab w:val="left" w:pos="2520"/>
        </w:tabs>
        <w:spacing w:line="440" w:lineRule="exact"/>
        <w:ind w:firstLine="420" w:firstLineChars="200"/>
      </w:pPr>
      <w:r>
        <w:rPr>
          <w:rFonts w:hint="eastAsia"/>
        </w:rPr>
        <w:t>论述上诉不加刑原则</w:t>
      </w:r>
    </w:p>
    <w:p w14:paraId="4095DE2B">
      <w:pPr>
        <w:tabs>
          <w:tab w:val="left" w:pos="1050"/>
          <w:tab w:val="left" w:pos="2520"/>
        </w:tabs>
        <w:spacing w:line="440" w:lineRule="exact"/>
        <w:ind w:firstLine="420" w:firstLineChars="200"/>
      </w:pPr>
      <w:r>
        <w:rPr>
          <w:rFonts w:hint="eastAsia"/>
        </w:rPr>
        <w:t>1、上诉不加刑原则，是指仅有被告人一方提出上诉时，第二审人民法院在第二审程序中不得以任何理由或任何形式加重被告人的刑罚。</w:t>
      </w:r>
    </w:p>
    <w:p w14:paraId="3705388D">
      <w:pPr>
        <w:tabs>
          <w:tab w:val="left" w:pos="1050"/>
          <w:tab w:val="left" w:pos="2520"/>
        </w:tabs>
        <w:spacing w:line="440" w:lineRule="exact"/>
        <w:ind w:firstLine="420" w:firstLineChars="200"/>
      </w:pPr>
      <w:r>
        <w:rPr>
          <w:rFonts w:hint="eastAsia"/>
        </w:rPr>
        <w:t>2、上诉不加刑的原则在我国刑事诉讼法上主要包括三个方面的内容：</w:t>
      </w:r>
    </w:p>
    <w:p w14:paraId="2F85F1E7">
      <w:pPr>
        <w:tabs>
          <w:tab w:val="left" w:pos="1050"/>
          <w:tab w:val="left" w:pos="2520"/>
        </w:tabs>
        <w:spacing w:line="440" w:lineRule="exact"/>
        <w:ind w:firstLine="420" w:firstLineChars="200"/>
      </w:pPr>
      <w:r>
        <w:rPr>
          <w:rFonts w:hint="eastAsia"/>
        </w:rPr>
        <w:t>①上诉不加刑原则是第二审程序中适用的原则。②上诉不加刑原则适用于仅有被告人一方提出上诉的案件。③审理仅由被告人一方提出上诉的案件，第二审人民法院不得以任何理由或任何形式加重被告人的刑罚。</w:t>
      </w:r>
    </w:p>
    <w:p w14:paraId="37C28AFA">
      <w:pPr>
        <w:tabs>
          <w:tab w:val="left" w:pos="1050"/>
          <w:tab w:val="left" w:pos="2520"/>
        </w:tabs>
        <w:spacing w:line="440" w:lineRule="exact"/>
        <w:ind w:firstLine="420" w:firstLineChars="200"/>
      </w:pPr>
      <w:r>
        <w:rPr>
          <w:rFonts w:hint="eastAsia"/>
        </w:rPr>
        <w:t>3、《刑诉法解释》第</w:t>
      </w:r>
      <w:r>
        <w:t>325</w:t>
      </w:r>
      <w:r>
        <w:rPr>
          <w:rFonts w:hint="eastAsia"/>
        </w:rPr>
        <w:t>条、</w:t>
      </w:r>
      <w:r>
        <w:t>326</w:t>
      </w:r>
      <w:r>
        <w:rPr>
          <w:rFonts w:hint="eastAsia"/>
        </w:rPr>
        <w:t>条、</w:t>
      </w:r>
      <w:r>
        <w:t>327</w:t>
      </w:r>
      <w:r>
        <w:rPr>
          <w:rFonts w:hint="eastAsia"/>
        </w:rPr>
        <w:t>条的规定</w:t>
      </w:r>
    </w:p>
    <w:p w14:paraId="1E7C2C73">
      <w:pPr>
        <w:tabs>
          <w:tab w:val="left" w:pos="1050"/>
          <w:tab w:val="left" w:pos="2520"/>
        </w:tabs>
        <w:spacing w:line="440" w:lineRule="exact"/>
        <w:ind w:firstLine="420" w:firstLineChars="200"/>
      </w:pPr>
      <w:r>
        <w:rPr>
          <w:rFonts w:hint="eastAsia"/>
        </w:rPr>
        <w:t>①同案审理的案件，只有部分被告人上诉的，既不得加重上诉人的刑罚，也不得加重其他同案被告人的刑罚；</w:t>
      </w:r>
    </w:p>
    <w:p w14:paraId="33810839">
      <w:pPr>
        <w:tabs>
          <w:tab w:val="left" w:pos="1050"/>
          <w:tab w:val="left" w:pos="2520"/>
        </w:tabs>
        <w:spacing w:line="440" w:lineRule="exact"/>
        <w:ind w:firstLine="420" w:firstLineChars="200"/>
      </w:pPr>
      <w:r>
        <w:rPr>
          <w:rFonts w:hint="eastAsia"/>
        </w:rPr>
        <w:t>②原判事实清楚，证据确实、充分，只是认定的罪名不当的，可以改变罪名，但不得加重刑罚；</w:t>
      </w:r>
    </w:p>
    <w:p w14:paraId="1089A85A">
      <w:pPr>
        <w:tabs>
          <w:tab w:val="left" w:pos="1050"/>
          <w:tab w:val="left" w:pos="2520"/>
        </w:tabs>
        <w:spacing w:line="440" w:lineRule="exact"/>
        <w:ind w:firstLine="420" w:firstLineChars="200"/>
      </w:pPr>
      <w:r>
        <w:rPr>
          <w:rFonts w:hint="eastAsia"/>
        </w:rPr>
        <w:t>③原判对被告人实行数罪并罚的，不得加重决定执行的刑罚，也不得加重数罪中某罪的刑罚；</w:t>
      </w:r>
    </w:p>
    <w:p w14:paraId="44A7E3B2">
      <w:pPr>
        <w:tabs>
          <w:tab w:val="left" w:pos="1050"/>
          <w:tab w:val="left" w:pos="2520"/>
        </w:tabs>
        <w:spacing w:line="440" w:lineRule="exact"/>
      </w:pPr>
      <w:r>
        <w:t xml:space="preserve">    </w:t>
      </w:r>
      <w:r>
        <w:rPr>
          <w:rFonts w:hint="eastAsia"/>
        </w:rPr>
        <w:t>④原判对被告人宣告缓刑的，不得撤销缓刑或者延长缓刑考验期；</w:t>
      </w:r>
    </w:p>
    <w:p w14:paraId="4CDD6A2E">
      <w:pPr>
        <w:tabs>
          <w:tab w:val="left" w:pos="1050"/>
          <w:tab w:val="left" w:pos="2520"/>
        </w:tabs>
        <w:spacing w:line="440" w:lineRule="exact"/>
        <w:ind w:firstLine="420" w:firstLineChars="200"/>
      </w:pPr>
      <w:r>
        <w:rPr>
          <w:rFonts w:hint="eastAsia"/>
        </w:rPr>
        <w:t>⑤原判没有宣告禁止令的，不得增加宣告；原判宣告禁止令的，不得增加内容、延长期限；</w:t>
      </w:r>
    </w:p>
    <w:p w14:paraId="219E8075">
      <w:pPr>
        <w:tabs>
          <w:tab w:val="left" w:pos="1050"/>
          <w:tab w:val="left" w:pos="2520"/>
        </w:tabs>
        <w:spacing w:line="440" w:lineRule="exact"/>
        <w:ind w:firstLine="420" w:firstLineChars="200"/>
      </w:pPr>
      <w:r>
        <w:rPr>
          <w:rFonts w:hint="eastAsia"/>
        </w:rPr>
        <w:t>4、意义：</w:t>
      </w:r>
    </w:p>
    <w:p w14:paraId="765755BB">
      <w:pPr>
        <w:tabs>
          <w:tab w:val="left" w:pos="1050"/>
          <w:tab w:val="left" w:pos="2520"/>
        </w:tabs>
        <w:spacing w:line="440" w:lineRule="exact"/>
        <w:ind w:firstLine="420" w:firstLineChars="200"/>
      </w:pPr>
      <w:r>
        <w:rPr>
          <w:rFonts w:hint="eastAsia" w:ascii="新宋体" w:hAnsi="新宋体" w:eastAsia="新宋体"/>
        </w:rPr>
        <w:t>①</w:t>
      </w:r>
      <w:r>
        <w:rPr>
          <w:rFonts w:hint="eastAsia"/>
        </w:rPr>
        <w:t>有利于实现控辩双方的平等。</w:t>
      </w:r>
    </w:p>
    <w:p w14:paraId="4676C8F1">
      <w:pPr>
        <w:tabs>
          <w:tab w:val="left" w:pos="1050"/>
          <w:tab w:val="left" w:pos="2520"/>
        </w:tabs>
        <w:spacing w:line="440" w:lineRule="exact"/>
        <w:ind w:firstLine="420" w:firstLineChars="200"/>
      </w:pPr>
      <w:r>
        <w:rPr>
          <w:rFonts w:hint="eastAsia" w:ascii="新宋体" w:hAnsi="新宋体" w:eastAsia="新宋体"/>
        </w:rPr>
        <w:t>②</w:t>
      </w:r>
      <w:r>
        <w:rPr>
          <w:rFonts w:hint="eastAsia"/>
        </w:rPr>
        <w:t>有利于保障被告人的上诉权。</w:t>
      </w:r>
    </w:p>
    <w:p w14:paraId="7A32DADB">
      <w:pPr>
        <w:tabs>
          <w:tab w:val="left" w:pos="1050"/>
          <w:tab w:val="left" w:pos="2520"/>
        </w:tabs>
        <w:spacing w:line="440" w:lineRule="exact"/>
        <w:ind w:firstLine="420" w:firstLineChars="200"/>
      </w:pPr>
      <w:r>
        <w:rPr>
          <w:rFonts w:hint="eastAsia" w:ascii="新宋体" w:hAnsi="新宋体" w:eastAsia="新宋体"/>
        </w:rPr>
        <w:t>③</w:t>
      </w:r>
      <w:r>
        <w:rPr>
          <w:rFonts w:hint="eastAsia"/>
        </w:rPr>
        <w:t>有利于第一审法院严格依法审判，提高审判工作的质量。</w:t>
      </w:r>
    </w:p>
    <w:p w14:paraId="6240EA1E">
      <w:pPr>
        <w:tabs>
          <w:tab w:val="left" w:pos="1050"/>
          <w:tab w:val="left" w:pos="2520"/>
        </w:tabs>
        <w:spacing w:line="440" w:lineRule="exact"/>
        <w:ind w:firstLine="420" w:firstLineChars="200"/>
      </w:pPr>
      <w:r>
        <w:rPr>
          <w:rFonts w:hint="eastAsia" w:ascii="新宋体" w:hAnsi="新宋体" w:eastAsia="新宋体"/>
        </w:rPr>
        <w:t>④</w:t>
      </w:r>
      <w:r>
        <w:rPr>
          <w:rFonts w:hint="eastAsia"/>
        </w:rPr>
        <w:t>有利于促使检察机关积极履行法律监督职能。</w:t>
      </w:r>
    </w:p>
    <w:p w14:paraId="5E016907">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right="374" w:rightChars="0"/>
        <w:jc w:val="both"/>
        <w:textAlignment w:val="baseline"/>
        <w:rPr>
          <w:rFonts w:hint="eastAsia" w:ascii="宋体" w:hAnsi="宋体" w:eastAsia="宋体" w:cs="宋体"/>
          <w:b/>
          <w:bCs/>
          <w:i w:val="0"/>
          <w:iCs w:val="0"/>
          <w:lang w:val="en-US" w:eastAsia="zh-CN"/>
        </w:rPr>
      </w:pPr>
    </w:p>
    <w:p w14:paraId="6292D1B8">
      <w:pPr>
        <w:rPr>
          <w:rFonts w:hint="default" w:ascii="宋体" w:hAnsi="宋体" w:eastAsia="宋体" w:cs="宋体"/>
          <w:b w:val="0"/>
          <w:bCs w:val="0"/>
          <w:color w:val="000000"/>
          <w:kern w:val="2"/>
          <w:sz w:val="21"/>
          <w:szCs w:val="21"/>
          <w:u w:val="none"/>
          <w:vertAlign w:val="baseli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427059"/>
    <w:multiLevelType w:val="singleLevel"/>
    <w:tmpl w:val="6C427059"/>
    <w:lvl w:ilvl="0" w:tentative="0">
      <w:start w:val="4"/>
      <w:numFmt w:val="upperLetter"/>
      <w:suff w:val="nothing"/>
      <w:lvlText w:val="%1、"/>
      <w:lvlJc w:val="left"/>
    </w:lvl>
  </w:abstractNum>
  <w:abstractNum w:abstractNumId="1">
    <w:nsid w:val="7474FEE5"/>
    <w:multiLevelType w:val="singleLevel"/>
    <w:tmpl w:val="7474FEE5"/>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9509F"/>
    <w:rsid w:val="4AC95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fulltext-wrap_navbian"/>
    <w:basedOn w:val="1"/>
    <w:qFormat/>
    <w:uiPriority w:val="0"/>
    <w:pPr>
      <w:spacing w:line="576" w:lineRule="auto"/>
    </w:pPr>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2025-12-12T07:01:00Z</dcterms:created>
  <dc:creator>黄岩育华李才聪</dc:creator>
  <cp:lastModifiedBy>黄岩育华李才聪</cp:lastModifiedBy>
  <dcterms:modified xsi:type="dcterms:W3CDTF">2025-12-12T07:07:47Z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BFD870329B9A4FB589414EDB206E604A_11</vt:lpwstr>
  </property>
  <property fmtid="{D5CDD505-2E9C-101B-9397-08002B2CF9AE}" pid="4" name="KSOTemplateDocerSaveRecord">
    <vt:lpwstr>eyJoZGlkIjoiZmQ4ZTQyZDdmOTI0NjQ5MTBlMjM4MTBkY2Y5N2MwMzYiLCJ1c2VySWQiOiI0NTY2Nzc2NjkifQ==</vt:lpwstr>
  </property>
</Properties>
</file>