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2999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sz w:val="32"/>
          <w:szCs w:val="32"/>
          <w:lang w:val="en-US" w:eastAsia="zh-CN"/>
        </w:rPr>
        <w:t>刑法（A）复习资料</w:t>
      </w:r>
    </w:p>
    <w:p w14:paraId="563B32C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/>
          <w:bCs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lang w:val="en-US" w:eastAsia="zh-CN"/>
        </w:rPr>
        <w:t>一、填空题</w:t>
      </w:r>
    </w:p>
    <w:p w14:paraId="1F7FFC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6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1、</w:t>
      </w:r>
      <w:bookmarkStart w:id="0" w:name="tiao_3_kuan_1"/>
      <w:bookmarkEnd w:id="0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法律明文规定为犯罪行为的，依照法律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；法律没有明文规定为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的，不得定罪处刑。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</w:p>
    <w:p w14:paraId="5A3262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6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2、</w:t>
      </w:r>
      <w:bookmarkStart w:id="1" w:name="tiao_5_kuan_1"/>
      <w:bookmarkEnd w:id="1"/>
      <w:bookmarkStart w:id="2" w:name="tiao_7_kuan_1"/>
      <w:bookmarkEnd w:id="2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中华人民共和国公民在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犯本法规定之罪的，适用本法，但是按本法规定的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为三年以下有期徒刑的，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不予追究。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</w:p>
    <w:p w14:paraId="0A357F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6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3</w:t>
      </w:r>
      <w:bookmarkStart w:id="3" w:name="tiao_10_kuan_1"/>
      <w:bookmarkEnd w:id="3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、</w:t>
      </w:r>
      <w:bookmarkStart w:id="4" w:name="tiao_14_kuan_1"/>
      <w:bookmarkEnd w:id="4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自己的行为会发生危害社会的结果，并且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或者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这种结果发生，因而构成犯罪的，是故意犯罪。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</w:p>
    <w:p w14:paraId="716932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6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4、</w:t>
      </w:r>
      <w:bookmarkStart w:id="5" w:name="tiao_17.1_kuan_1"/>
      <w:bookmarkEnd w:id="5"/>
      <w:bookmarkStart w:id="6" w:name="tiao_15_kuan_1"/>
      <w:bookmarkEnd w:id="6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已满七十五周岁的人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犯罪的，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从轻或者减轻处罚；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犯罪的，应当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或者减轻处罚。</w:t>
      </w:r>
    </w:p>
    <w:p w14:paraId="71C393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6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5、</w:t>
      </w:r>
      <w:bookmarkStart w:id="7" w:name="tiao_22_kuan_1"/>
      <w:bookmarkEnd w:id="7"/>
      <w:bookmarkStart w:id="8" w:name="tiao_25_kuan_1"/>
      <w:bookmarkEnd w:id="8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为了犯罪，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的，是犯罪预备。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</w:p>
    <w:p w14:paraId="6DAC82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6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6、</w:t>
      </w:r>
      <w:bookmarkStart w:id="9" w:name="tiao_31_kuan_1"/>
      <w:bookmarkEnd w:id="9"/>
      <w:bookmarkStart w:id="10" w:name="tiao_27_kuan_1"/>
      <w:bookmarkEnd w:id="10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在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中起次要或者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作用的，是从犯。。</w:t>
      </w:r>
    </w:p>
    <w:p w14:paraId="22CE2A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6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7、单位犯罪的，对单位判处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，并对其直接负责的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和其他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判处刑罚。本法分则和其他法律另有规定的，依照规定。</w:t>
      </w:r>
    </w:p>
    <w:p w14:paraId="09A9B8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6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8、</w:t>
      </w:r>
      <w:bookmarkStart w:id="11" w:name="tiao_66_kuan_1"/>
      <w:bookmarkEnd w:id="11"/>
      <w:bookmarkStart w:id="12" w:name="tiao_38_kuan_1"/>
      <w:bookmarkEnd w:id="12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管制的期限，为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以上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以下。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</w:p>
    <w:p w14:paraId="734789F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6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9、</w:t>
      </w:r>
      <w:bookmarkStart w:id="13" w:name="tiao_74_kuan_1"/>
      <w:bookmarkEnd w:id="13"/>
      <w:bookmarkStart w:id="14" w:name="tiao_103_kuan_1"/>
      <w:bookmarkEnd w:id="14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对于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和犯罪集团的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，不适用缓刑。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</w:p>
    <w:p w14:paraId="650DDC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56" w:lineRule="atLeast"/>
        <w:ind w:left="0" w:right="0" w:firstLine="0"/>
        <w:jc w:val="left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10</w:t>
      </w:r>
      <w:bookmarkStart w:id="15" w:name="tiao_107_kuan_1"/>
      <w:bookmarkEnd w:id="15"/>
      <w:bookmarkStart w:id="16" w:name="tiao_83_kuan_1"/>
      <w:bookmarkEnd w:id="16"/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、有期徒刑的假释考验期限，为没有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的刑期；无期徒刑的假释考验期限为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single"/>
          <w:vertAlign w:val="baseline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年。</w:t>
      </w:r>
    </w:p>
    <w:p w14:paraId="2C1E1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二、判断题</w:t>
      </w:r>
    </w:p>
    <w:p w14:paraId="23B5C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1、刑罚的轻重，应当与犯罪分子所犯罪行和承担的刑事责任相适应。           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 xml:space="preserve">（  ）                           </w:t>
      </w:r>
    </w:p>
    <w:p w14:paraId="56918AC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right="374" w:rightChars="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2、在中华人民共和国领域外犯罪，依照本法应当负刑事责任的，经过外国审判，不能再依照《中华人民共和国刑法》追究。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vertAlign w:val="baseline"/>
          <w:lang w:val="en-US" w:eastAsia="zh-CN" w:bidi="ar-SA"/>
        </w:rPr>
        <w:t xml:space="preserve">                                       （   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fldChar w:fldCharType="end"/>
      </w:r>
    </w:p>
    <w:p w14:paraId="36C0E7E9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right="374" w:rightChars="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3、过失犯罪，都不负刑事责任。                                            （   ）</w:t>
      </w:r>
    </w:p>
    <w:p w14:paraId="47B0C8CF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right="374" w:rightChars="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4、间歇性的精神病人在精神正常的时候犯罪，应当负刑事责任。                （   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 xml:space="preserve"> </w:t>
      </w:r>
    </w:p>
    <w:p w14:paraId="4101CFD9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right="374" w:rightChars="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5、对正在进行的盗窃行为，采取防卫行为，造成不法侵害人伤亡的，不负刑事责任。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（ ）</w:t>
      </w:r>
    </w:p>
    <w:p w14:paraId="5A2C4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6、在一起共同犯罪中，张三负责望风，李四负责盗窃。张三害怕，趁李四不注意悄悄溜走，张三的行为属于犯罪中止。                                                  （   ）     </w:t>
      </w:r>
    </w:p>
    <w:p w14:paraId="1A4E7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7、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附加刑可以独立适用或者附加适用。                                 （   ）</w:t>
      </w:r>
    </w:p>
    <w:p w14:paraId="59675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8、对判处管制的犯罪分子，依法实行社区矫正。。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                      （   ）</w:t>
      </w:r>
    </w:p>
    <w:p w14:paraId="25545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9、有期徒刑数罪并罚的，刑期不超过20年。                           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（   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                 </w:t>
      </w:r>
    </w:p>
    <w:p w14:paraId="7924B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10、法定最高刑为五年有期徒刑的，经过五年期限不再追诉。 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             （   ）</w:t>
      </w:r>
    </w:p>
    <w:p w14:paraId="76D0E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三、选择题</w:t>
      </w:r>
    </w:p>
    <w:p w14:paraId="3020A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1、下列关于犯罪的基本特征说法不正确的是（     ）。</w:t>
      </w:r>
    </w:p>
    <w:p w14:paraId="0A9AF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A、具有人身危险性           B、具有严重社会危害性   </w:t>
      </w:r>
    </w:p>
    <w:p w14:paraId="467D9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C、具有刑事违法性           D、具有应受刑罚惩罚性 </w:t>
      </w:r>
    </w:p>
    <w:p w14:paraId="5FE37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2、甲想杀害妻子，于是将足以致死的安眠药掺入饮料中让妻子喝下。看见妻子在床上陷入昏睡时，他心生悔意，及时送往医院抢救，结束因药量过大造成妻子死亡。对甲应如何处理（     ）。</w:t>
      </w:r>
    </w:p>
    <w:p w14:paraId="64186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A、按犯罪未遂处理           B、按犯罪既遂处理</w:t>
      </w:r>
    </w:p>
    <w:p w14:paraId="3529A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C、按犯罪中止处理           D、不成立犯罪</w:t>
      </w:r>
    </w:p>
    <w:p w14:paraId="63282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3、我国客机在降落美国某机场的时候，德国人甲在机舱中窃取英国人乙价值4000元人民币的财物。对本案适用我国刑法的依据是（      ）。</w:t>
      </w:r>
    </w:p>
    <w:p w14:paraId="56095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A、普遍管辖原则　           B、属人原则　  </w:t>
      </w:r>
    </w:p>
    <w:p w14:paraId="7D2E7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C、属地原则　               D、保护原则</w:t>
      </w:r>
    </w:p>
    <w:p w14:paraId="4C023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4、对下列犯罪不能行使“特殊防卫权”的是（     ）。</w:t>
      </w:r>
    </w:p>
    <w:p w14:paraId="1745D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A、故意杀人                 B、绑架罪</w:t>
      </w:r>
    </w:p>
    <w:p w14:paraId="7A783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C、抢劫罪                   D、诬告陷害罪 </w:t>
      </w:r>
    </w:p>
    <w:p w14:paraId="5367E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5、张三在自己14周岁生日那天，强奸了不满15周岁的李四，则张某的行为（   ）。</w:t>
      </w:r>
    </w:p>
    <w:p w14:paraId="6586D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A、不负刑事责任              B、应当负刑事责任</w:t>
      </w:r>
    </w:p>
    <w:p w14:paraId="50AA1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C、可以负刑事责任            D、应当减轻刑事责任   </w:t>
      </w:r>
    </w:p>
    <w:p w14:paraId="7193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6、李四因犯诈骗罪被判处有期徒刑10年，附加剥夺政治权利3年，则他实际上被剥夺政治权利的时间应为（   ）。</w:t>
      </w:r>
    </w:p>
    <w:p w14:paraId="689CA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A、3年        B、13年        C、7年      D、10年</w:t>
      </w:r>
    </w:p>
    <w:p w14:paraId="78297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7、20岁的张三，唆使15岁的李四单独去邻居家盗窃了价值3万元的财物，以下说法正确的是（    ）。</w:t>
      </w:r>
    </w:p>
    <w:p w14:paraId="47D16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A、张三和李四构成盗窃罪的共同犯罪     B、李四属于胁从犯</w:t>
      </w:r>
    </w:p>
    <w:p w14:paraId="4D793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C、张三一人承担盗窃罪的刑事责任       D、李四属于从犯</w:t>
      </w:r>
    </w:p>
    <w:p w14:paraId="7C2B9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8、张三因憎恨自己所在公司的领导李四将自己开除，在夜晚准备用枪杀死李四。因心情紧张，将一个黑影视为李四开枪射杀，第二天才发现是李四家的一头羊驼被打死了。吴某该行为应属于（      ）。</w:t>
      </w:r>
    </w:p>
    <w:p w14:paraId="696A5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A、行为性质错误                       B、工具错误</w:t>
      </w:r>
    </w:p>
    <w:p w14:paraId="64391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C、因果关系认识错误                   D、行为对象错误</w:t>
      </w:r>
    </w:p>
    <w:p w14:paraId="01464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9、甲对乙实施抢劫，乙奋起抗争，恰遇甲之好友丙经过，甲请丙帮忙，共抢得乙身上钱财若干甲、丙的共同犯罪属于（    ）。</w:t>
      </w:r>
    </w:p>
    <w:p w14:paraId="5A466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A、事先有通谋的共同犯罪              B、复杂共同犯罪</w:t>
      </w:r>
    </w:p>
    <w:p w14:paraId="0547F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C、事先无通谋的共同犯罪              D、必要共同犯罪</w:t>
      </w:r>
    </w:p>
    <w:p w14:paraId="28B76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10、下列哪一种情形，不能认为是犯罪（      ）。</w:t>
      </w:r>
    </w:p>
    <w:p w14:paraId="561CB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 xml:space="preserve">A、张三打电话约其李四一起去实施抢劫   </w:t>
      </w:r>
    </w:p>
    <w:p w14:paraId="6F6C7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B、张三为方便对李四实施抢劫，对李四的活动规律进行跟踪调查</w:t>
      </w:r>
    </w:p>
    <w:p w14:paraId="4E8E0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C、张三为了盗窃李四家财产，毒死了李四家的看家犬</w:t>
      </w:r>
    </w:p>
    <w:p w14:paraId="18AD1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D、张三向其李四表示要杀掉仇人王五</w:t>
      </w:r>
    </w:p>
    <w:p w14:paraId="72C54F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四、简答题</w:t>
      </w:r>
    </w:p>
    <w:p w14:paraId="3DD90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1、简述主刑的种类</w:t>
      </w:r>
    </w:p>
    <w:p w14:paraId="404289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2、简述被判处管制的犯罪分子，在执行期间，应当遵守的规定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instrText xml:space="preserve"> HYPERLINK "javascript:void(0);" </w:instrTex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  <w:fldChar w:fldCharType="end"/>
      </w:r>
    </w:p>
    <w:p w14:paraId="60A44D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3、简述犯罪的追诉时效</w:t>
      </w:r>
    </w:p>
    <w:p w14:paraId="0195DA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/>
          <w:bCs/>
          <w:i w:val="0"/>
          <w:iCs w:val="0"/>
          <w:color w:val="00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五、论述题</w:t>
      </w:r>
    </w:p>
    <w:p w14:paraId="0C27C3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17" w:name="OLE_LINK4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1、</w:t>
      </w:r>
      <w:bookmarkEnd w:id="17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论述缓刑制度</w:t>
      </w:r>
    </w:p>
    <w:p w14:paraId="30597CA6"/>
    <w:p w14:paraId="1645FAF8">
      <w:bookmarkStart w:id="39" w:name="_GoBack"/>
      <w:bookmarkEnd w:id="39"/>
    </w:p>
    <w:p w14:paraId="0068C727"/>
    <w:p w14:paraId="15F22FD7"/>
    <w:p w14:paraId="72B54E9D"/>
    <w:p w14:paraId="4B3D5749"/>
    <w:p w14:paraId="191B00DC"/>
    <w:p w14:paraId="2A640B3E">
      <w:pPr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参考答案</w:t>
      </w:r>
    </w:p>
    <w:p w14:paraId="14B4CAEF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bookmarkStart w:id="18" w:name="OLE_LINK3"/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一、填空题（每空1分，共25分）</w:t>
      </w:r>
    </w:p>
    <w:p w14:paraId="17BA8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定罪处刑    犯罪行为</w:t>
      </w:r>
    </w:p>
    <w:p w14:paraId="22841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中华人民共和国领域外  最高刑  可以</w:t>
      </w:r>
    </w:p>
    <w:p w14:paraId="01883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明知   希望   放任</w:t>
      </w:r>
    </w:p>
    <w:p w14:paraId="6140C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故意  可以   过失  从轻</w:t>
      </w:r>
    </w:p>
    <w:p w14:paraId="67549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准备工具  制造条件</w:t>
      </w:r>
    </w:p>
    <w:p w14:paraId="32F0C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sz w:val="21"/>
          <w:szCs w:val="21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6、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共同犯罪  辅助</w:t>
      </w:r>
    </w:p>
    <w:p w14:paraId="320F2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u w:val="none"/>
          <w:vertAlign w:val="baseline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none"/>
          <w:vertAlign w:val="baseline"/>
          <w:lang w:val="en-US" w:eastAsia="zh-CN"/>
        </w:rPr>
        <w:t>7、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罚金  主管人员  直接责任人员</w:t>
      </w:r>
    </w:p>
    <w:p w14:paraId="0CCA0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u w:val="none"/>
          <w:vertAlign w:val="baseline"/>
          <w:lang w:val="en-US" w:eastAsia="zh-CN"/>
        </w:rPr>
        <w:t>8、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三个月  二年</w:t>
      </w:r>
    </w:p>
    <w:p w14:paraId="44B1E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2"/>
          <w:szCs w:val="22"/>
          <w:vertAlign w:val="baseline"/>
          <w:lang w:val="en-US" w:eastAsia="zh-CN"/>
        </w:rPr>
        <w:t>9、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>累犯  首要分子</w:t>
      </w:r>
    </w:p>
    <w:p w14:paraId="01ABE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  <w:t>10、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1"/>
          <w:szCs w:val="21"/>
          <w:u w:val="none"/>
          <w:vertAlign w:val="baseline"/>
          <w:lang w:val="en-US" w:eastAsia="zh-CN" w:bidi="ar-SA"/>
        </w:rPr>
        <w:t xml:space="preserve">  </w:t>
      </w:r>
    </w:p>
    <w:p w14:paraId="4F996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  <w:t>二、判断题</w:t>
      </w: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（每题1分，共10分，正确的打“</w:t>
      </w:r>
      <w:r>
        <w:rPr>
          <w:rFonts w:hint="default" w:ascii="Arial" w:hAnsi="Arial" w:eastAsia="宋体" w:cs="Arial"/>
          <w:b/>
          <w:bCs/>
          <w:i w:val="0"/>
          <w:iCs w:val="0"/>
          <w:lang w:val="en-US" w:eastAsia="zh-CN"/>
        </w:rPr>
        <w:t>√</w:t>
      </w: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”，错误的打“</w:t>
      </w:r>
      <w:r>
        <w:rPr>
          <w:rFonts w:hint="default" w:ascii="Arial" w:hAnsi="Arial" w:eastAsia="宋体" w:cs="Arial"/>
          <w:b/>
          <w:bCs/>
          <w:i w:val="0"/>
          <w:iCs w:val="0"/>
          <w:lang w:val="en-US" w:eastAsia="zh-CN"/>
        </w:rPr>
        <w:t>×</w:t>
      </w: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”否则不给分）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51"/>
        <w:gridCol w:w="851"/>
        <w:gridCol w:w="850"/>
        <w:gridCol w:w="851"/>
        <w:gridCol w:w="851"/>
        <w:gridCol w:w="848"/>
        <w:gridCol w:w="850"/>
        <w:gridCol w:w="852"/>
        <w:gridCol w:w="868"/>
      </w:tblGrid>
      <w:tr w14:paraId="6853C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noWrap w:val="0"/>
            <w:vAlign w:val="top"/>
          </w:tcPr>
          <w:p w14:paraId="29257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962" w:type="dxa"/>
            <w:noWrap w:val="0"/>
            <w:vAlign w:val="top"/>
          </w:tcPr>
          <w:p w14:paraId="5A188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962" w:type="dxa"/>
            <w:noWrap w:val="0"/>
            <w:vAlign w:val="top"/>
          </w:tcPr>
          <w:p w14:paraId="471B0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62" w:type="dxa"/>
            <w:noWrap w:val="0"/>
            <w:vAlign w:val="top"/>
          </w:tcPr>
          <w:p w14:paraId="14721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4</w:t>
            </w:r>
          </w:p>
        </w:tc>
        <w:tc>
          <w:tcPr>
            <w:tcW w:w="962" w:type="dxa"/>
            <w:noWrap w:val="0"/>
            <w:vAlign w:val="top"/>
          </w:tcPr>
          <w:p w14:paraId="4E9D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62" w:type="dxa"/>
            <w:noWrap w:val="0"/>
            <w:vAlign w:val="top"/>
          </w:tcPr>
          <w:p w14:paraId="26BDA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6</w:t>
            </w:r>
          </w:p>
        </w:tc>
        <w:tc>
          <w:tcPr>
            <w:tcW w:w="962" w:type="dxa"/>
            <w:noWrap w:val="0"/>
            <w:vAlign w:val="top"/>
          </w:tcPr>
          <w:p w14:paraId="616DA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7</w:t>
            </w:r>
          </w:p>
        </w:tc>
        <w:tc>
          <w:tcPr>
            <w:tcW w:w="962" w:type="dxa"/>
            <w:noWrap w:val="0"/>
            <w:vAlign w:val="top"/>
          </w:tcPr>
          <w:p w14:paraId="7C94D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8</w:t>
            </w:r>
          </w:p>
        </w:tc>
        <w:tc>
          <w:tcPr>
            <w:tcW w:w="962" w:type="dxa"/>
            <w:noWrap w:val="0"/>
            <w:vAlign w:val="top"/>
          </w:tcPr>
          <w:p w14:paraId="1FE81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9</w:t>
            </w:r>
          </w:p>
        </w:tc>
        <w:tc>
          <w:tcPr>
            <w:tcW w:w="962" w:type="dxa"/>
            <w:noWrap w:val="0"/>
            <w:vAlign w:val="top"/>
          </w:tcPr>
          <w:p w14:paraId="21756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10</w:t>
            </w:r>
          </w:p>
        </w:tc>
      </w:tr>
      <w:tr w14:paraId="0341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noWrap w:val="0"/>
            <w:vAlign w:val="top"/>
          </w:tcPr>
          <w:p w14:paraId="4268D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√</w:t>
            </w:r>
          </w:p>
        </w:tc>
        <w:tc>
          <w:tcPr>
            <w:tcW w:w="962" w:type="dxa"/>
            <w:noWrap w:val="0"/>
            <w:vAlign w:val="top"/>
          </w:tcPr>
          <w:p w14:paraId="10972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×</w:t>
            </w:r>
          </w:p>
        </w:tc>
        <w:tc>
          <w:tcPr>
            <w:tcW w:w="962" w:type="dxa"/>
            <w:noWrap w:val="0"/>
            <w:vAlign w:val="top"/>
          </w:tcPr>
          <w:p w14:paraId="6C2E8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×</w:t>
            </w:r>
          </w:p>
        </w:tc>
        <w:tc>
          <w:tcPr>
            <w:tcW w:w="962" w:type="dxa"/>
            <w:noWrap w:val="0"/>
            <w:vAlign w:val="top"/>
          </w:tcPr>
          <w:p w14:paraId="16B05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√</w:t>
            </w:r>
          </w:p>
        </w:tc>
        <w:tc>
          <w:tcPr>
            <w:tcW w:w="962" w:type="dxa"/>
            <w:noWrap w:val="0"/>
            <w:vAlign w:val="top"/>
          </w:tcPr>
          <w:p w14:paraId="4B4A1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×</w:t>
            </w:r>
          </w:p>
        </w:tc>
        <w:tc>
          <w:tcPr>
            <w:tcW w:w="962" w:type="dxa"/>
            <w:noWrap w:val="0"/>
            <w:vAlign w:val="top"/>
          </w:tcPr>
          <w:p w14:paraId="40E98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×</w:t>
            </w:r>
          </w:p>
        </w:tc>
        <w:tc>
          <w:tcPr>
            <w:tcW w:w="962" w:type="dxa"/>
            <w:noWrap w:val="0"/>
            <w:vAlign w:val="top"/>
          </w:tcPr>
          <w:p w14:paraId="27F56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2" w:type="dxa"/>
            <w:noWrap w:val="0"/>
            <w:vAlign w:val="top"/>
          </w:tcPr>
          <w:p w14:paraId="23DA0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√</w:t>
            </w:r>
          </w:p>
        </w:tc>
        <w:tc>
          <w:tcPr>
            <w:tcW w:w="962" w:type="dxa"/>
            <w:noWrap w:val="0"/>
            <w:vAlign w:val="top"/>
          </w:tcPr>
          <w:p w14:paraId="31920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lang w:val="en-US" w:eastAsia="zh-CN"/>
              </w:rPr>
              <w:t>×</w:t>
            </w:r>
          </w:p>
        </w:tc>
        <w:tc>
          <w:tcPr>
            <w:tcW w:w="962" w:type="dxa"/>
            <w:noWrap w:val="0"/>
            <w:vAlign w:val="top"/>
          </w:tcPr>
          <w:p w14:paraId="03B8A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</w:p>
        </w:tc>
      </w:tr>
    </w:tbl>
    <w:p w14:paraId="30A2B9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  <w:t>三、选择题</w:t>
      </w: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（每题2分，共20分）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1"/>
        <w:gridCol w:w="851"/>
        <w:gridCol w:w="870"/>
      </w:tblGrid>
      <w:tr w14:paraId="7F758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noWrap w:val="0"/>
            <w:vAlign w:val="top"/>
          </w:tcPr>
          <w:p w14:paraId="20D6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962" w:type="dxa"/>
            <w:noWrap w:val="0"/>
            <w:vAlign w:val="top"/>
          </w:tcPr>
          <w:p w14:paraId="3EA86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2</w:t>
            </w:r>
          </w:p>
        </w:tc>
        <w:tc>
          <w:tcPr>
            <w:tcW w:w="962" w:type="dxa"/>
            <w:noWrap w:val="0"/>
            <w:vAlign w:val="top"/>
          </w:tcPr>
          <w:p w14:paraId="4C08F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3</w:t>
            </w:r>
          </w:p>
        </w:tc>
        <w:tc>
          <w:tcPr>
            <w:tcW w:w="962" w:type="dxa"/>
            <w:noWrap w:val="0"/>
            <w:vAlign w:val="top"/>
          </w:tcPr>
          <w:p w14:paraId="1EFF9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4</w:t>
            </w:r>
          </w:p>
        </w:tc>
        <w:tc>
          <w:tcPr>
            <w:tcW w:w="962" w:type="dxa"/>
            <w:noWrap w:val="0"/>
            <w:vAlign w:val="top"/>
          </w:tcPr>
          <w:p w14:paraId="225BE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5</w:t>
            </w:r>
          </w:p>
        </w:tc>
        <w:tc>
          <w:tcPr>
            <w:tcW w:w="962" w:type="dxa"/>
            <w:noWrap w:val="0"/>
            <w:vAlign w:val="top"/>
          </w:tcPr>
          <w:p w14:paraId="76BBD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6</w:t>
            </w:r>
          </w:p>
        </w:tc>
        <w:tc>
          <w:tcPr>
            <w:tcW w:w="962" w:type="dxa"/>
            <w:noWrap w:val="0"/>
            <w:vAlign w:val="top"/>
          </w:tcPr>
          <w:p w14:paraId="1DCFB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7</w:t>
            </w:r>
          </w:p>
        </w:tc>
        <w:tc>
          <w:tcPr>
            <w:tcW w:w="962" w:type="dxa"/>
            <w:noWrap w:val="0"/>
            <w:vAlign w:val="top"/>
          </w:tcPr>
          <w:p w14:paraId="703F4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8</w:t>
            </w:r>
          </w:p>
        </w:tc>
        <w:tc>
          <w:tcPr>
            <w:tcW w:w="962" w:type="dxa"/>
            <w:noWrap w:val="0"/>
            <w:vAlign w:val="top"/>
          </w:tcPr>
          <w:p w14:paraId="0C2DB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9</w:t>
            </w:r>
          </w:p>
        </w:tc>
        <w:tc>
          <w:tcPr>
            <w:tcW w:w="962" w:type="dxa"/>
            <w:noWrap w:val="0"/>
            <w:vAlign w:val="top"/>
          </w:tcPr>
          <w:p w14:paraId="2F0DE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10</w:t>
            </w:r>
          </w:p>
        </w:tc>
      </w:tr>
      <w:tr w14:paraId="38465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noWrap w:val="0"/>
            <w:vAlign w:val="top"/>
          </w:tcPr>
          <w:p w14:paraId="429DD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A</w:t>
            </w:r>
          </w:p>
        </w:tc>
        <w:tc>
          <w:tcPr>
            <w:tcW w:w="962" w:type="dxa"/>
            <w:noWrap w:val="0"/>
            <w:vAlign w:val="top"/>
          </w:tcPr>
          <w:p w14:paraId="7E121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B</w:t>
            </w:r>
          </w:p>
        </w:tc>
        <w:tc>
          <w:tcPr>
            <w:tcW w:w="962" w:type="dxa"/>
            <w:noWrap w:val="0"/>
            <w:vAlign w:val="top"/>
          </w:tcPr>
          <w:p w14:paraId="6F31A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C</w:t>
            </w:r>
          </w:p>
        </w:tc>
        <w:tc>
          <w:tcPr>
            <w:tcW w:w="962" w:type="dxa"/>
            <w:noWrap w:val="0"/>
            <w:vAlign w:val="top"/>
          </w:tcPr>
          <w:p w14:paraId="4CE5B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D</w:t>
            </w:r>
          </w:p>
        </w:tc>
        <w:tc>
          <w:tcPr>
            <w:tcW w:w="962" w:type="dxa"/>
            <w:noWrap w:val="0"/>
            <w:vAlign w:val="top"/>
          </w:tcPr>
          <w:p w14:paraId="30C4B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A</w:t>
            </w:r>
          </w:p>
        </w:tc>
        <w:tc>
          <w:tcPr>
            <w:tcW w:w="962" w:type="dxa"/>
            <w:noWrap w:val="0"/>
            <w:vAlign w:val="top"/>
          </w:tcPr>
          <w:p w14:paraId="2A2E1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B</w:t>
            </w:r>
          </w:p>
        </w:tc>
        <w:tc>
          <w:tcPr>
            <w:tcW w:w="962" w:type="dxa"/>
            <w:noWrap w:val="0"/>
            <w:vAlign w:val="top"/>
          </w:tcPr>
          <w:p w14:paraId="4DE1A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noWrap w:val="0"/>
            <w:vAlign w:val="top"/>
          </w:tcPr>
          <w:p w14:paraId="67377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D</w:t>
            </w:r>
          </w:p>
        </w:tc>
        <w:tc>
          <w:tcPr>
            <w:tcW w:w="962" w:type="dxa"/>
            <w:noWrap w:val="0"/>
            <w:vAlign w:val="top"/>
          </w:tcPr>
          <w:p w14:paraId="60849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C</w:t>
            </w:r>
          </w:p>
        </w:tc>
        <w:tc>
          <w:tcPr>
            <w:tcW w:w="962" w:type="dxa"/>
            <w:noWrap w:val="0"/>
            <w:vAlign w:val="top"/>
          </w:tcPr>
          <w:p w14:paraId="11C0A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vertAlign w:val="baseline"/>
                <w:lang w:val="en-US" w:eastAsia="zh-CN"/>
              </w:rPr>
              <w:t>D</w:t>
            </w:r>
          </w:p>
        </w:tc>
      </w:tr>
    </w:tbl>
    <w:p w14:paraId="217A841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  <w:t>四、简答题</w:t>
      </w: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（每题8分，共24分）</w:t>
      </w:r>
    </w:p>
    <w:bookmarkEnd w:id="18"/>
    <w:p w14:paraId="4E6B35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lang w:val="en-US" w:eastAsia="zh-CN"/>
        </w:rPr>
        <w:t>简述主刑的种类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</w:p>
    <w:p w14:paraId="06174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19" w:name="tiao_149_kuan_1_xiang_1"/>
      <w:bookmarkEnd w:id="19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</w:rPr>
        <w:t>①</w:t>
      </w:r>
      <w:bookmarkStart w:id="20" w:name="tiao_171_kuan_1_xiang_1"/>
      <w:bookmarkEnd w:id="20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  <w:bookmarkStart w:id="21" w:name="tiao_171_kuan_1_xiang_2"/>
      <w:bookmarkEnd w:id="21"/>
      <w:bookmarkStart w:id="22" w:name="tiao_149_kuan_1_xiang_2"/>
      <w:bookmarkEnd w:id="22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管制②</w:t>
      </w:r>
      <w:bookmarkStart w:id="23" w:name="tiao_149_kuan_1_xiang_3"/>
      <w:bookmarkEnd w:id="23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拘役③</w:t>
      </w:r>
      <w:bookmarkStart w:id="24" w:name="tiao_149_kuan_1_xiang_4"/>
      <w:bookmarkEnd w:id="24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有期徒刑④无期徒刑⑤死刑</w:t>
      </w:r>
    </w:p>
    <w:p w14:paraId="4D62B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2、简述被判处管制的犯罪分子，在执行期间，应当遵守的规定</w:t>
      </w:r>
    </w:p>
    <w:p w14:paraId="3104FB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25" w:name="tiao_39_kuan_1_xiang_1"/>
      <w:bookmarkEnd w:id="25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　　①遵守法律、行政法规，服从监督；</w:t>
      </w:r>
    </w:p>
    <w:p w14:paraId="386330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26" w:name="tiao_39_kuan_1_xiang_2"/>
      <w:bookmarkEnd w:id="26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　　②未经执行机关批准，不得行使言论、出版、集会、结社、游行、示威自由的权利；</w:t>
      </w:r>
    </w:p>
    <w:p w14:paraId="35C272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27" w:name="tiao_39_kuan_1_xiang_3"/>
      <w:bookmarkEnd w:id="27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　　③按照执行机关规定报告自己的活动情况；</w:t>
      </w:r>
    </w:p>
    <w:p w14:paraId="2AEA56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28" w:name="tiao_39_kuan_1_xiang_4"/>
      <w:bookmarkEnd w:id="28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　　④遵守执行机关关于会客的规定；</w:t>
      </w:r>
    </w:p>
    <w:p w14:paraId="0198F2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29" w:name="tiao_39_kuan_1_xiang_5"/>
      <w:bookmarkEnd w:id="29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⑤离开所居住的市、县或者迁居，应当报经执行机关批准。</w:t>
      </w:r>
      <w:bookmarkStart w:id="30" w:name="tiao_166_kuan_1_xiang_6"/>
      <w:bookmarkEnd w:id="30"/>
      <w:bookmarkStart w:id="31" w:name="tiao_39_kuan_2"/>
      <w:bookmarkEnd w:id="31"/>
    </w:p>
    <w:p w14:paraId="103D5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32" w:name="tiao_210_kuan_1"/>
      <w:bookmarkEnd w:id="32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3、简述犯罪的追诉时效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  <w:bookmarkStart w:id="33" w:name="tiao_210_kuan_1_xiang_1"/>
      <w:bookmarkEnd w:id="33"/>
      <w:bookmarkStart w:id="34" w:name="tiao_177_kuan_1_xiang_1"/>
      <w:bookmarkEnd w:id="34"/>
    </w:p>
    <w:p w14:paraId="0534C1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犯罪经过下列期限不再追诉：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</w:p>
    <w:p w14:paraId="2C84E2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35" w:name="tiao_87_kuan_1_xiang_1"/>
      <w:bookmarkEnd w:id="35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　　①法定最高刑为不满五年有期徒刑的，经过五年；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</w:p>
    <w:p w14:paraId="5C5EDE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36" w:name="tiao_87_kuan_1_xiang_2"/>
      <w:bookmarkEnd w:id="36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　　②法定最高刑为五年以上不满十年有期徒刑的，经过十年；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</w:p>
    <w:p w14:paraId="4D6334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37" w:name="tiao_87_kuan_1_xiang_3"/>
      <w:bookmarkEnd w:id="37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　　③法定最高刑为十年以上有期徒刑的，经过十五年；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</w:p>
    <w:p w14:paraId="6C6FCC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</w:pPr>
      <w:bookmarkStart w:id="38" w:name="tiao_87_kuan_1_xiang_4"/>
      <w:bookmarkEnd w:id="38"/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　　④法定最高刑为无期徒刑、死刑的，经过二十年。如果二十年以后认为必须追诉的，须报请最高人民检察院核准。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instrText xml:space="preserve"> HYPERLINK "javascript:void(0);" </w:instrTex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fldChar w:fldCharType="end"/>
      </w:r>
    </w:p>
    <w:p w14:paraId="02402DA2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374" w:rightChars="0" w:firstLine="211" w:firstLineChars="100"/>
        <w:jc w:val="both"/>
        <w:textAlignment w:val="baseline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u w:val="none"/>
          <w:vertAlign w:val="baseline"/>
          <w:lang w:val="en-US" w:eastAsia="zh-CN" w:bidi="ar-SA"/>
        </w:rPr>
        <w:t>论述题</w:t>
      </w: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（每题21分，共21分）</w:t>
      </w:r>
    </w:p>
    <w:p w14:paraId="0FE9427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374" w:rightChars="0" w:firstLine="210" w:firstLineChars="100"/>
        <w:jc w:val="both"/>
        <w:textAlignment w:val="baseline"/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vertAlign w:val="baseline"/>
          <w:lang w:val="en-US" w:eastAsia="zh-CN"/>
        </w:rPr>
        <w:t>论述缓刑制度</w:t>
      </w:r>
    </w:p>
    <w:p w14:paraId="1AAC29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74FEE5"/>
    <w:multiLevelType w:val="singleLevel"/>
    <w:tmpl w:val="7474FEE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6003C"/>
    <w:rsid w:val="03BE2DE2"/>
    <w:rsid w:val="4CF27F48"/>
    <w:rsid w:val="5636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fulltext-wrap_navbian"/>
    <w:basedOn w:val="1"/>
    <w:qFormat/>
    <w:uiPriority w:val="0"/>
    <w:pPr>
      <w:spacing w:line="576" w:lineRule="auto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2026-06-01T06:23:00Z</dcterms:created>
  <dc:creator>台州育华学校@刘老师</dc:creator>
  <cp:lastModifiedBy>台州育华学校@刘老师</cp:lastModifiedBy>
  <dcterms:modified xsi:type="dcterms:W3CDTF">2026-06-01T06:29:31Z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18464C07D6874D05BD81A7E4311E609C_11</vt:lpwstr>
  </property>
  <property fmtid="{D5CDD505-2E9C-101B-9397-08002B2CF9AE}" pid="4" name="KSOTemplateDocerSaveRecord">
    <vt:lpwstr>eyJoZGlkIjoiMjYzZGI3NjdmNWQ3ZTNlZmIyNWM3ZjAxYmU4NDBiZjQiLCJ1c2VySWQiOiI3NTY4ODAxNjcifQ==</vt:lpwstr>
  </property>
</Properties>
</file>