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BA48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sz w:val="36"/>
          <w:szCs w:val="36"/>
          <w:lang w:val="en-US" w:eastAsia="zh-CN"/>
        </w:rPr>
        <w:t>刑法（B)复习资料</w:t>
      </w:r>
    </w:p>
    <w:p w14:paraId="6E09EC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/>
          <w:bCs/>
          <w:i w:val="0"/>
          <w:iCs w:val="0"/>
          <w:color w:val="000000"/>
          <w:lang w:val="en-US" w:eastAsia="zh-CN"/>
        </w:rPr>
      </w:pPr>
    </w:p>
    <w:p w14:paraId="75A9F35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/>
          <w:bCs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lang w:val="en-US" w:eastAsia="zh-CN"/>
        </w:rPr>
        <w:t>一、填空题</w:t>
      </w:r>
    </w:p>
    <w:p w14:paraId="77CECF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1、</w:t>
      </w:r>
      <w:bookmarkStart w:id="0" w:name="tiao_3_kuan_1"/>
      <w:bookmarkEnd w:id="0"/>
      <w:bookmarkStart w:id="1" w:name="tiao_5_kuan_1"/>
      <w:bookmarkEnd w:id="1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刑罚的轻重，应当与犯罪分子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和承担的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相适应。</w:t>
      </w:r>
    </w:p>
    <w:p w14:paraId="5C32B4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2、</w:t>
      </w:r>
      <w:bookmarkStart w:id="2" w:name="tiao_7_kuan_1"/>
      <w:bookmarkEnd w:id="2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中华人民共和国公民在中华人民共和国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犯本法规定之罪的，适用本法，但是按本法规定的最高刑为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有期徒刑的，可以不予追究。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instrText xml:space="preserve"> HYPERLINK "javascript:void(0);" </w:instrTex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end"/>
      </w:r>
    </w:p>
    <w:p w14:paraId="78FEBA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3、</w:t>
      </w:r>
      <w:bookmarkStart w:id="3" w:name="tiao_15_kuan_1"/>
      <w:bookmarkEnd w:id="3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应当预见自己的行为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发生危害社会的结果，因为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而没有预见，或者已经预见而轻信能够避免，以致发生这种结果的，是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犯罪。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instrText xml:space="preserve"> HYPERLINK "javascript:void(0);" </w:instrTex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end"/>
      </w:r>
    </w:p>
    <w:p w14:paraId="226330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4、已满十二周岁不满十四周岁的人，犯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罪，致人死亡或者以特别残忍手段致人重伤造成严重残疾，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，经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核准追诉的，应当负刑事责任。</w:t>
      </w:r>
    </w:p>
    <w:p w14:paraId="58F2D3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5、</w:t>
      </w:r>
      <w:bookmarkStart w:id="4" w:name="tiao_23_kuan_1"/>
      <w:bookmarkEnd w:id="4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已经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实行犯罪，由于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以外的原因而未得逞的，是犯罪未遂。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instrText xml:space="preserve"> HYPERLINK "javascript:void(0);" </w:instrTex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end"/>
      </w:r>
    </w:p>
    <w:p w14:paraId="2C6982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6、</w:t>
      </w:r>
      <w:bookmarkStart w:id="5" w:name="tiao_29_kuan_1"/>
      <w:bookmarkEnd w:id="5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教唆他人犯罪的，应当按照他在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所起的作用处罚。教唆不满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的人犯罪的，应当从重处罚。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instrText xml:space="preserve"> HYPERLINK "javascript:void(0);" </w:instrTex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end"/>
      </w:r>
      <w:bookmarkStart w:id="6" w:name="tiao_29_kuan_2"/>
      <w:bookmarkEnd w:id="6"/>
    </w:p>
    <w:p w14:paraId="19F038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7、</w:t>
      </w:r>
      <w:bookmarkStart w:id="7" w:name="tiao_31_kuan_1"/>
      <w:bookmarkEnd w:id="7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单位犯罪的，对单位判处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，并对其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的主管人员和其他直接责任人员判处刑罚。本法分则和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另有规定的，依照规定。</w:t>
      </w:r>
    </w:p>
    <w:p w14:paraId="415BC2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8、</w:t>
      </w:r>
      <w:bookmarkStart w:id="8" w:name="tiao_41_kuan_1"/>
      <w:bookmarkEnd w:id="8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管制的刑期，从判决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起计算；判决执行以前先行羁押的，羁押一日折抵刑期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日。</w:t>
      </w:r>
    </w:p>
    <w:p w14:paraId="730669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9、</w:t>
      </w:r>
      <w:bookmarkStart w:id="9" w:name="tiao_78_kuan_1"/>
      <w:bookmarkEnd w:id="9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被判处管制、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、有期徒刑、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的犯罪分子，在执行期间，如果认真遵守监规，接受教育改造，确有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的，或者有立功表现的，可以减刑；</w:t>
      </w:r>
    </w:p>
    <w:p w14:paraId="54C1A5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10、</w:t>
      </w:r>
      <w:bookmarkStart w:id="10" w:name="tiao_83_kuan_1"/>
      <w:bookmarkEnd w:id="10"/>
      <w:bookmarkStart w:id="11" w:name="tiao_107_kuan_1"/>
      <w:bookmarkEnd w:id="11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有期徒刑的假释考验期限，为没有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的刑期；无期徒刑的假释考验期限为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shd w:val="clear" w:color="auto" w:fill="FFFFFF"/>
          <w:vertAlign w:val="baselin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年。</w:t>
      </w:r>
    </w:p>
    <w:p w14:paraId="45673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二、判断题</w:t>
      </w:r>
    </w:p>
    <w:p w14:paraId="0E5C5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1、犯罪的行为或者结果有一项发生在中华人民共和国领域内的，就认为是在中华人民共和国领域内犯罪。                                      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 xml:space="preserve">                        （  ）</w:t>
      </w:r>
    </w:p>
    <w:p w14:paraId="021F67D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right="374" w:rightChars="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2、在中华人民共和国领域外犯罪，依照本法应当负刑事责任的，经过外国审判，不能再依照《中华人民共和国刑法》追究。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 xml:space="preserve">                                          （  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 xml:space="preserve">                                  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fldChar w:fldCharType="end"/>
      </w:r>
    </w:p>
    <w:p w14:paraId="6A5E5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3、不满十四周岁的人犯罪，不负刑事责任。                                  （  ）</w:t>
      </w:r>
    </w:p>
    <w:p w14:paraId="1CDE3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4、间歇性的精神病人在精神正常的时候犯罪，应当负刑事责任。                （  ） 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 xml:space="preserve">                      </w:t>
      </w:r>
    </w:p>
    <w:p w14:paraId="4F3C4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5、对正在进行的诈骗行为，采取防卫行为，造成不法侵害人伤亡的，不负刑事责任。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（  ）                           6、张三闯入李四家中想杀死李四，刚推门进去发现李四家里有四个彪形大汉，遂夺门而走，张三的行为属于犯罪预备。                                                    （   ）     </w:t>
      </w:r>
    </w:p>
    <w:p w14:paraId="25D79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7、承担民事赔偿责任的犯罪分子，同时被判处罚金，其财产不足以全部支付的，应当先承担对被害人的民事赔偿责任。                                                    （   ）</w:t>
      </w:r>
    </w:p>
    <w:p w14:paraId="6A068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8、对于被判处管制的犯罪分子，在劳动中应当同工同酬。                       （   ）</w:t>
      </w:r>
    </w:p>
    <w:p w14:paraId="2BFD8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9、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对假释的犯罪分子，在假释考验期限内，不用实行社区矫正。      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（   ）                                                                                                           10、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法定最高刑为五年有期徒刑的，经过五年期限不再追诉。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                   （   ）</w:t>
      </w:r>
    </w:p>
    <w:p w14:paraId="77BA2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三、选择题</w:t>
      </w:r>
    </w:p>
    <w:p w14:paraId="4901D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bookmarkStart w:id="12" w:name="OLE_LINK1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1、</w:t>
      </w:r>
      <w:bookmarkEnd w:id="12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下列关于犯罪的基本特征说法不正确的是（     ）。</w:t>
      </w:r>
    </w:p>
    <w:p w14:paraId="584D7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A、具有严重社会危害性             B、具有刑事违法性   </w:t>
      </w:r>
    </w:p>
    <w:p w14:paraId="5B291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C、具有应受刑罚惩罚性             D、 具有人身危险性</w:t>
      </w:r>
    </w:p>
    <w:p w14:paraId="0A226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2、犯罪的未完成形态存在于(    )实施的犯罪中。</w:t>
      </w:r>
    </w:p>
    <w:p w14:paraId="1F306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A、直接故意                      B、间接故意   </w:t>
      </w:r>
    </w:p>
    <w:p w14:paraId="0C4E1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C、过于自信的过失                D、疏忽大意的过失</w:t>
      </w:r>
    </w:p>
    <w:p w14:paraId="19CCB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3、下列哪个选项不属于在中国领域内犯罪（     ）。</w:t>
      </w:r>
    </w:p>
    <w:p w14:paraId="4C551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A、犯罪行为或者结果都没有发生在中国领域内</w:t>
      </w:r>
    </w:p>
    <w:p w14:paraId="462A1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B、在中国的船舶上犯罪</w:t>
      </w:r>
    </w:p>
    <w:p w14:paraId="10E15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C、在中国的航空器上犯罪</w:t>
      </w:r>
    </w:p>
    <w:p w14:paraId="0EF82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D、在住外领事馆里犯罪</w:t>
      </w:r>
    </w:p>
    <w:p w14:paraId="28E95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4、张三离婚后嫌才三个月的女儿李四累赘，某日将李四一人留在家中，自己锁门外出。张三五天后回家，李四已经死在摇篮里，法院判决甲构成故意杀人罪。甲属于（    ）。</w:t>
      </w:r>
    </w:p>
    <w:p w14:paraId="44321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A、纯正的不作为犯　                B、不纯正的不作为犯　</w:t>
      </w:r>
    </w:p>
    <w:p w14:paraId="384BF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C、纯正的作为犯　                  D、结果加重犯  </w:t>
      </w:r>
    </w:p>
    <w:p w14:paraId="36DCC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5、张三约李四、王五一起帮他教训马六，并请他们吃饭作为感谢，李四、王五一口同意。李四因害怕没有前往，张三、王五最终将马六打成了重伤。李四的行为属于（      ）。</w:t>
      </w:r>
    </w:p>
    <w:p w14:paraId="5485C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A、犯罪预备       B、犯罪既遂       C、犯罪中止         D、犯罪未遂</w:t>
      </w:r>
    </w:p>
    <w:p w14:paraId="18DAA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6、对下列犯罪不可以行使“特殊防卫权”的是（     ）。</w:t>
      </w:r>
    </w:p>
    <w:p w14:paraId="223C4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A、杀人罪                B、绑架罪</w:t>
      </w:r>
    </w:p>
    <w:p w14:paraId="7FAE1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C、抢劫罪                D、侮辱罪</w:t>
      </w:r>
    </w:p>
    <w:p w14:paraId="1EA43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7、张某意图杀害李某,一日晚藏于李某院门外,从虚掩的门缝中见一黑影在移动,即认为是李某,遂举枪射击,次日方知打死的不是李某,而是其家中的一头牲畜。张某属于（    ）。                                      </w:t>
      </w:r>
    </w:p>
    <w:p w14:paraId="58414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A、应负过失杀人的责任   </w:t>
      </w:r>
    </w:p>
    <w:p w14:paraId="05ADE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B、属于对象不能犯未遂，免予刑事处罚</w:t>
      </w:r>
    </w:p>
    <w:p w14:paraId="0C0BD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C、因其行为未造成李某受损害,不负刑事责任  </w:t>
      </w:r>
    </w:p>
    <w:p w14:paraId="10FF5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D、应负故意杀人未遂的责任 </w:t>
      </w:r>
    </w:p>
    <w:p w14:paraId="1BC72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8、宋某持三角刮刀抢劫王某财物，王某夺下宋某的三角刮刀，并将宋某推倒在水泥地上，宋某头部着地，当即昏迷。王某随后持三角刮刀将宋某杀死。关于王某行为的性质下列哪一选项是正确的（   ）。</w:t>
      </w:r>
    </w:p>
    <w:p w14:paraId="22FD0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A、根据刑法第20条第3款，王某将抢劫犯杀死，属正当防卫</w:t>
      </w:r>
    </w:p>
    <w:p w14:paraId="6FF5C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B、王某的行为属于防卫过当</w:t>
      </w:r>
    </w:p>
    <w:p w14:paraId="30527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C、王某前面的行为是正当防卫，后面的行为是故意杀人</w:t>
      </w:r>
    </w:p>
    <w:p w14:paraId="3CAB4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D、王某前面的行为是正当防卫，后面的行为是防卫过当</w:t>
      </w:r>
    </w:p>
    <w:p w14:paraId="04906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9、下列表述哪个说法是错的（  ）。</w:t>
      </w:r>
    </w:p>
    <w:p w14:paraId="2F8B0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A、人民法院可以根据犯罪情况和预防再犯罪的需要，禁止其自刑罚执行完毕之日或者假释之日起从事相关职业，期限为三年至五年。</w:t>
      </w:r>
    </w:p>
    <w:p w14:paraId="3F9DB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B、被判处管制的犯罪分子，未经执行机关批准，不得行使言论、出版、集会、结社、游行、示威自由的权利。</w:t>
      </w:r>
    </w:p>
    <w:p w14:paraId="61D47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C、审判的时候已满七十五周岁的人，不适用死刑。</w:t>
      </w:r>
    </w:p>
    <w:p w14:paraId="12C1C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D、罚金经人民法院裁定，可以延期缴纳、酌情减少或者免除。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end"/>
      </w:r>
    </w:p>
    <w:p w14:paraId="1D6E8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10、下列哪一种情形，尚不能认为是犯罪的（      ）。</w:t>
      </w:r>
    </w:p>
    <w:p w14:paraId="355D9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A、甲打电话邀约其朋友李某一起去实施抢劫   </w:t>
      </w:r>
    </w:p>
    <w:p w14:paraId="61BBD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B、丁为方便对刘某实施抢劫，对刘某的活动规律进行跟踪调查</w:t>
      </w:r>
    </w:p>
    <w:p w14:paraId="2CE05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C、丙为了盗窃张某家财产，毒死了张某家的看家犬</w:t>
      </w:r>
    </w:p>
    <w:p w14:paraId="396A4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D、乙向其朋友赵某表示要杀掉仇人陈某</w:t>
      </w:r>
    </w:p>
    <w:p w14:paraId="42726F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四、简答题</w:t>
      </w:r>
    </w:p>
    <w:p w14:paraId="27CAA9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1、简述主刑的种类</w:t>
      </w:r>
    </w:p>
    <w:p w14:paraId="3753CA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2、简述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>剥夺政治权利是剥夺哪些权利</w:t>
      </w:r>
    </w:p>
    <w:p w14:paraId="355D40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>简述被宣告缓刑的犯罪分子，应当遵守的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end"/>
      </w:r>
      <w:bookmarkStart w:id="13" w:name="tiao_177_kuan_1_xiang_1"/>
      <w:bookmarkEnd w:id="13"/>
      <w:bookmarkStart w:id="14" w:name="tiao_210_kuan_1_xiang_1"/>
      <w:bookmarkEnd w:id="14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>规定</w:t>
      </w:r>
    </w:p>
    <w:p w14:paraId="1A6761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/>
          <w:bCs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五、论述题</w:t>
      </w:r>
    </w:p>
    <w:p w14:paraId="620BA9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15" w:name="OLE_LINK4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1、</w:t>
      </w:r>
      <w:bookmarkEnd w:id="15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论述假释制度</w:t>
      </w:r>
    </w:p>
    <w:p w14:paraId="657D2E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</w:p>
    <w:p w14:paraId="5E0ECE47">
      <w:pPr>
        <w:numPr>
          <w:ilvl w:val="0"/>
          <w:numId w:val="0"/>
        </w:numPr>
        <w:spacing w:line="360" w:lineRule="auto"/>
        <w:jc w:val="left"/>
        <w:rPr>
          <w:rFonts w:hint="default" w:ascii="宋体" w:hAnsi="宋体" w:eastAsia="宋体" w:cs="宋体"/>
          <w:b/>
          <w:bCs/>
          <w:i w:val="0"/>
          <w:iCs w:val="0"/>
          <w:lang w:val="en-US" w:eastAsia="zh-CN"/>
        </w:rPr>
      </w:pPr>
      <w:bookmarkStart w:id="16" w:name="OLE_LINK3"/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参考答案</w:t>
      </w:r>
    </w:p>
    <w:p w14:paraId="29872BDE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一、填空题</w:t>
      </w:r>
    </w:p>
    <w:p w14:paraId="64083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所犯罪行  刑事责任</w:t>
      </w:r>
    </w:p>
    <w:p w14:paraId="10427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领域外  三年以下</w:t>
      </w:r>
    </w:p>
    <w:p w14:paraId="28685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可能  疏忽大意  过失</w:t>
      </w:r>
    </w:p>
    <w:p w14:paraId="34E6E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故意杀人  故意伤害  情节恶劣  最高人民检察院</w:t>
      </w:r>
    </w:p>
    <w:p w14:paraId="42F99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5、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着手  犯罪分子意志</w:t>
      </w:r>
    </w:p>
    <w:p w14:paraId="27607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u w:val="none"/>
          <w:vertAlign w:val="baseline"/>
          <w:lang w:val="en-US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6、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共同犯罪中  十八周岁</w:t>
      </w:r>
    </w:p>
    <w:p w14:paraId="5DAA4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none"/>
          <w:vertAlign w:val="baseline"/>
          <w:lang w:val="en-US" w:eastAsia="zh-CN"/>
        </w:rPr>
        <w:t>7、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罚金  直接负责  其他法律</w:t>
      </w:r>
    </w:p>
    <w:p w14:paraId="044B2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sz w:val="22"/>
          <w:szCs w:val="22"/>
          <w:vertAlign w:val="baseline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none"/>
          <w:vertAlign w:val="baseline"/>
          <w:lang w:val="en-US" w:eastAsia="zh-CN"/>
        </w:rPr>
        <w:t>8、</w:t>
      </w:r>
    </w:p>
    <w:p w14:paraId="6DDF9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sz w:val="22"/>
          <w:szCs w:val="22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2"/>
          <w:szCs w:val="22"/>
          <w:vertAlign w:val="baseline"/>
          <w:lang w:val="en-US" w:eastAsia="zh-CN"/>
        </w:rPr>
        <w:t>9、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 xml:space="preserve">拘役  无期徒刑  悔改表现  </w:t>
      </w:r>
    </w:p>
    <w:p w14:paraId="172ED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  <w:t>10、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执行完毕  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t xml:space="preserve">  </w:t>
      </w:r>
    </w:p>
    <w:p w14:paraId="51FA8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  <w:t>二、判断题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51"/>
        <w:gridCol w:w="851"/>
        <w:gridCol w:w="850"/>
        <w:gridCol w:w="851"/>
        <w:gridCol w:w="851"/>
        <w:gridCol w:w="850"/>
        <w:gridCol w:w="850"/>
        <w:gridCol w:w="851"/>
        <w:gridCol w:w="867"/>
      </w:tblGrid>
      <w:tr w14:paraId="3E947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noWrap w:val="0"/>
            <w:vAlign w:val="top"/>
          </w:tcPr>
          <w:p w14:paraId="1B0FD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962" w:type="dxa"/>
            <w:noWrap w:val="0"/>
            <w:vAlign w:val="top"/>
          </w:tcPr>
          <w:p w14:paraId="69DDE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2</w:t>
            </w:r>
          </w:p>
        </w:tc>
        <w:tc>
          <w:tcPr>
            <w:tcW w:w="962" w:type="dxa"/>
            <w:noWrap w:val="0"/>
            <w:vAlign w:val="top"/>
          </w:tcPr>
          <w:p w14:paraId="47703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62" w:type="dxa"/>
            <w:noWrap w:val="0"/>
            <w:vAlign w:val="top"/>
          </w:tcPr>
          <w:p w14:paraId="1CCB2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4</w:t>
            </w:r>
          </w:p>
        </w:tc>
        <w:tc>
          <w:tcPr>
            <w:tcW w:w="962" w:type="dxa"/>
            <w:noWrap w:val="0"/>
            <w:vAlign w:val="top"/>
          </w:tcPr>
          <w:p w14:paraId="502C6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62" w:type="dxa"/>
            <w:noWrap w:val="0"/>
            <w:vAlign w:val="top"/>
          </w:tcPr>
          <w:p w14:paraId="6362A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6</w:t>
            </w:r>
          </w:p>
        </w:tc>
        <w:tc>
          <w:tcPr>
            <w:tcW w:w="962" w:type="dxa"/>
            <w:noWrap w:val="0"/>
            <w:vAlign w:val="top"/>
          </w:tcPr>
          <w:p w14:paraId="663E5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7</w:t>
            </w:r>
          </w:p>
        </w:tc>
        <w:tc>
          <w:tcPr>
            <w:tcW w:w="962" w:type="dxa"/>
            <w:noWrap w:val="0"/>
            <w:vAlign w:val="top"/>
          </w:tcPr>
          <w:p w14:paraId="444B8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8</w:t>
            </w:r>
          </w:p>
        </w:tc>
        <w:tc>
          <w:tcPr>
            <w:tcW w:w="962" w:type="dxa"/>
            <w:noWrap w:val="0"/>
            <w:vAlign w:val="top"/>
          </w:tcPr>
          <w:p w14:paraId="62693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9</w:t>
            </w:r>
          </w:p>
        </w:tc>
        <w:tc>
          <w:tcPr>
            <w:tcW w:w="962" w:type="dxa"/>
            <w:noWrap w:val="0"/>
            <w:vAlign w:val="top"/>
          </w:tcPr>
          <w:p w14:paraId="0CFB2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10</w:t>
            </w:r>
          </w:p>
        </w:tc>
      </w:tr>
      <w:tr w14:paraId="2B90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noWrap w:val="0"/>
            <w:vAlign w:val="top"/>
          </w:tcPr>
          <w:p w14:paraId="63D74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√</w:t>
            </w:r>
          </w:p>
        </w:tc>
        <w:tc>
          <w:tcPr>
            <w:tcW w:w="962" w:type="dxa"/>
            <w:noWrap w:val="0"/>
            <w:vAlign w:val="top"/>
          </w:tcPr>
          <w:p w14:paraId="4E010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×</w:t>
            </w:r>
          </w:p>
        </w:tc>
        <w:tc>
          <w:tcPr>
            <w:tcW w:w="962" w:type="dxa"/>
            <w:noWrap w:val="0"/>
            <w:vAlign w:val="top"/>
          </w:tcPr>
          <w:p w14:paraId="0362A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×</w:t>
            </w:r>
          </w:p>
        </w:tc>
        <w:tc>
          <w:tcPr>
            <w:tcW w:w="962" w:type="dxa"/>
            <w:noWrap w:val="0"/>
            <w:vAlign w:val="top"/>
          </w:tcPr>
          <w:p w14:paraId="0D99C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√</w:t>
            </w:r>
          </w:p>
        </w:tc>
        <w:tc>
          <w:tcPr>
            <w:tcW w:w="962" w:type="dxa"/>
            <w:noWrap w:val="0"/>
            <w:vAlign w:val="top"/>
          </w:tcPr>
          <w:p w14:paraId="2591F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×</w:t>
            </w:r>
          </w:p>
        </w:tc>
        <w:tc>
          <w:tcPr>
            <w:tcW w:w="962" w:type="dxa"/>
            <w:noWrap w:val="0"/>
            <w:vAlign w:val="top"/>
          </w:tcPr>
          <w:p w14:paraId="6BF75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×</w:t>
            </w:r>
          </w:p>
        </w:tc>
        <w:tc>
          <w:tcPr>
            <w:tcW w:w="962" w:type="dxa"/>
            <w:noWrap w:val="0"/>
            <w:vAlign w:val="top"/>
          </w:tcPr>
          <w:p w14:paraId="213B2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√</w:t>
            </w:r>
          </w:p>
        </w:tc>
        <w:tc>
          <w:tcPr>
            <w:tcW w:w="962" w:type="dxa"/>
            <w:noWrap w:val="0"/>
            <w:vAlign w:val="top"/>
          </w:tcPr>
          <w:p w14:paraId="04205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√</w:t>
            </w:r>
          </w:p>
        </w:tc>
        <w:tc>
          <w:tcPr>
            <w:tcW w:w="962" w:type="dxa"/>
            <w:noWrap w:val="0"/>
            <w:vAlign w:val="top"/>
          </w:tcPr>
          <w:p w14:paraId="405BF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×</w:t>
            </w:r>
          </w:p>
        </w:tc>
        <w:tc>
          <w:tcPr>
            <w:tcW w:w="962" w:type="dxa"/>
            <w:noWrap w:val="0"/>
            <w:vAlign w:val="top"/>
          </w:tcPr>
          <w:p w14:paraId="1977E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</w:p>
        </w:tc>
      </w:tr>
    </w:tbl>
    <w:p w14:paraId="142930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  <w:t>三、选择题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1"/>
        <w:gridCol w:w="851"/>
        <w:gridCol w:w="870"/>
      </w:tblGrid>
      <w:tr w14:paraId="6A3B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noWrap w:val="0"/>
            <w:vAlign w:val="top"/>
          </w:tcPr>
          <w:p w14:paraId="04E4C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962" w:type="dxa"/>
            <w:noWrap w:val="0"/>
            <w:vAlign w:val="top"/>
          </w:tcPr>
          <w:p w14:paraId="2C23E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2</w:t>
            </w:r>
          </w:p>
        </w:tc>
        <w:tc>
          <w:tcPr>
            <w:tcW w:w="962" w:type="dxa"/>
            <w:noWrap w:val="0"/>
            <w:vAlign w:val="top"/>
          </w:tcPr>
          <w:p w14:paraId="651E0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62" w:type="dxa"/>
            <w:noWrap w:val="0"/>
            <w:vAlign w:val="top"/>
          </w:tcPr>
          <w:p w14:paraId="0664A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4</w:t>
            </w:r>
          </w:p>
        </w:tc>
        <w:tc>
          <w:tcPr>
            <w:tcW w:w="962" w:type="dxa"/>
            <w:noWrap w:val="0"/>
            <w:vAlign w:val="top"/>
          </w:tcPr>
          <w:p w14:paraId="49D3B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62" w:type="dxa"/>
            <w:noWrap w:val="0"/>
            <w:vAlign w:val="top"/>
          </w:tcPr>
          <w:p w14:paraId="38E72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6</w:t>
            </w:r>
          </w:p>
        </w:tc>
        <w:tc>
          <w:tcPr>
            <w:tcW w:w="962" w:type="dxa"/>
            <w:noWrap w:val="0"/>
            <w:vAlign w:val="top"/>
          </w:tcPr>
          <w:p w14:paraId="02DEF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7</w:t>
            </w:r>
          </w:p>
        </w:tc>
        <w:tc>
          <w:tcPr>
            <w:tcW w:w="962" w:type="dxa"/>
            <w:noWrap w:val="0"/>
            <w:vAlign w:val="top"/>
          </w:tcPr>
          <w:p w14:paraId="24542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8</w:t>
            </w:r>
          </w:p>
        </w:tc>
        <w:tc>
          <w:tcPr>
            <w:tcW w:w="962" w:type="dxa"/>
            <w:noWrap w:val="0"/>
            <w:vAlign w:val="top"/>
          </w:tcPr>
          <w:p w14:paraId="28F95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9</w:t>
            </w:r>
          </w:p>
        </w:tc>
        <w:tc>
          <w:tcPr>
            <w:tcW w:w="962" w:type="dxa"/>
            <w:noWrap w:val="0"/>
            <w:vAlign w:val="top"/>
          </w:tcPr>
          <w:p w14:paraId="5C090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10</w:t>
            </w:r>
          </w:p>
        </w:tc>
      </w:tr>
      <w:tr w14:paraId="19134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noWrap w:val="0"/>
            <w:vAlign w:val="top"/>
          </w:tcPr>
          <w:p w14:paraId="02506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D</w:t>
            </w:r>
          </w:p>
        </w:tc>
        <w:tc>
          <w:tcPr>
            <w:tcW w:w="962" w:type="dxa"/>
            <w:noWrap w:val="0"/>
            <w:vAlign w:val="top"/>
          </w:tcPr>
          <w:p w14:paraId="02D1C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A</w:t>
            </w:r>
          </w:p>
        </w:tc>
        <w:tc>
          <w:tcPr>
            <w:tcW w:w="962" w:type="dxa"/>
            <w:noWrap w:val="0"/>
            <w:vAlign w:val="top"/>
          </w:tcPr>
          <w:p w14:paraId="5BA35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A</w:t>
            </w:r>
          </w:p>
        </w:tc>
        <w:tc>
          <w:tcPr>
            <w:tcW w:w="962" w:type="dxa"/>
            <w:noWrap w:val="0"/>
            <w:vAlign w:val="top"/>
          </w:tcPr>
          <w:p w14:paraId="19301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B</w:t>
            </w:r>
          </w:p>
        </w:tc>
        <w:tc>
          <w:tcPr>
            <w:tcW w:w="962" w:type="dxa"/>
            <w:noWrap w:val="0"/>
            <w:vAlign w:val="top"/>
          </w:tcPr>
          <w:p w14:paraId="2BC4F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B</w:t>
            </w:r>
          </w:p>
        </w:tc>
        <w:tc>
          <w:tcPr>
            <w:tcW w:w="962" w:type="dxa"/>
            <w:noWrap w:val="0"/>
            <w:vAlign w:val="top"/>
          </w:tcPr>
          <w:p w14:paraId="1D9DC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D</w:t>
            </w:r>
          </w:p>
        </w:tc>
        <w:tc>
          <w:tcPr>
            <w:tcW w:w="962" w:type="dxa"/>
            <w:noWrap w:val="0"/>
            <w:vAlign w:val="top"/>
          </w:tcPr>
          <w:p w14:paraId="1CBDF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D</w:t>
            </w:r>
          </w:p>
        </w:tc>
        <w:tc>
          <w:tcPr>
            <w:tcW w:w="962" w:type="dxa"/>
            <w:noWrap w:val="0"/>
            <w:vAlign w:val="top"/>
          </w:tcPr>
          <w:p w14:paraId="57FE6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C</w:t>
            </w:r>
          </w:p>
        </w:tc>
        <w:tc>
          <w:tcPr>
            <w:tcW w:w="962" w:type="dxa"/>
            <w:noWrap w:val="0"/>
            <w:vAlign w:val="top"/>
          </w:tcPr>
          <w:p w14:paraId="4137D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C</w:t>
            </w:r>
          </w:p>
        </w:tc>
        <w:tc>
          <w:tcPr>
            <w:tcW w:w="962" w:type="dxa"/>
            <w:noWrap w:val="0"/>
            <w:vAlign w:val="top"/>
          </w:tcPr>
          <w:p w14:paraId="303F3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D</w:t>
            </w:r>
          </w:p>
        </w:tc>
      </w:tr>
    </w:tbl>
    <w:p w14:paraId="44DFB8D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  <w:t>四、简答题</w:t>
      </w:r>
    </w:p>
    <w:bookmarkEnd w:id="16"/>
    <w:p w14:paraId="08061C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1</w:t>
      </w:r>
      <w:bookmarkStart w:id="17" w:name="tiao_149_kuan_1_xiang_1"/>
      <w:bookmarkEnd w:id="17"/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简述主刑的种类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</w:p>
    <w:p w14:paraId="745B08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t>①</w:t>
      </w:r>
      <w:bookmarkStart w:id="18" w:name="tiao_171_kuan_1_xiang_1"/>
      <w:bookmarkEnd w:id="18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  <w:bookmarkStart w:id="19" w:name="tiao_149_kuan_1_xiang_2"/>
      <w:bookmarkEnd w:id="19"/>
      <w:bookmarkStart w:id="20" w:name="tiao_171_kuan_1_xiang_2"/>
      <w:bookmarkEnd w:id="20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管制②拘役③有期徒刑④无期徒刑⑤死刑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</w:p>
    <w:p w14:paraId="4D21AF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21" w:name="tiao_149_kuan_1_xiang_3"/>
      <w:bookmarkEnd w:id="21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</w:p>
    <w:p w14:paraId="7108D3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</w:pPr>
      <w:bookmarkStart w:id="22" w:name="tiao_149_kuan_1_xiang_4"/>
      <w:bookmarkEnd w:id="22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2、简述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>剥夺政治权利是剥夺哪些权利</w:t>
      </w:r>
      <w:bookmarkStart w:id="23" w:name="tiao_54_kuan_1_xiang_1"/>
      <w:bookmarkEnd w:id="23"/>
    </w:p>
    <w:p w14:paraId="68EE5AF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374" w:rightChars="0" w:firstLine="210" w:firstLineChars="1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</w:p>
    <w:p w14:paraId="27EF7B0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374" w:rightChars="0" w:firstLine="210" w:firstLineChars="1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  <w:bookmarkStart w:id="24" w:name="tiao_166_kuan_1_xiang_1"/>
      <w:bookmarkEnd w:id="24"/>
      <w:bookmarkStart w:id="25" w:name="tiao_166_kuan_1_xiang_5"/>
      <w:bookmarkEnd w:id="25"/>
      <w:bookmarkStart w:id="26" w:name="tiao_206_kuan_1_xiang_1"/>
      <w:bookmarkEnd w:id="26"/>
    </w:p>
    <w:p w14:paraId="260C1B29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374" w:rightChars="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</w:pPr>
      <w:bookmarkStart w:id="27" w:name="tiao_210_kuan_1"/>
      <w:bookmarkEnd w:id="27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>3、简述被宣告缓刑的犯罪分子，应当遵守的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>规定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end"/>
      </w:r>
      <w:bookmarkStart w:id="28" w:name="tiao_75_kuan_1_xiang_1"/>
      <w:bookmarkEnd w:id="28"/>
    </w:p>
    <w:p w14:paraId="33504E69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374" w:rightChars="0" w:firstLine="420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①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>遵守法律、行政法规，服从监督；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end"/>
      </w:r>
      <w:bookmarkStart w:id="29" w:name="tiao_75_kuan_1_xiang_2"/>
      <w:bookmarkEnd w:id="29"/>
    </w:p>
    <w:p w14:paraId="6A2796E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374" w:rightChars="0" w:firstLine="420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②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>按照考察机关的规定报告自己的活动情况；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end"/>
      </w:r>
      <w:bookmarkStart w:id="30" w:name="tiao_75_kuan_1_xiang_3"/>
      <w:bookmarkEnd w:id="30"/>
    </w:p>
    <w:p w14:paraId="0045CE8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374" w:rightChars="0" w:firstLine="420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③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>遵守考察机关关于会客的规定；</w:t>
      </w:r>
      <w:bookmarkStart w:id="31" w:name="tiao_75_kuan_1_xiang_4"/>
      <w:bookmarkEnd w:id="31"/>
    </w:p>
    <w:p w14:paraId="79D6587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374" w:rightChars="0" w:firstLine="420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④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>离开所居住的市、县或者迁居，应当报经考察机关批准。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fldChar w:fldCharType="end"/>
      </w:r>
    </w:p>
    <w:p w14:paraId="7CA1A463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374" w:rightChars="0" w:firstLine="211" w:firstLineChars="100"/>
        <w:jc w:val="both"/>
        <w:textAlignment w:val="baseline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  <w:t>论述题</w:t>
      </w:r>
      <w:bookmarkStart w:id="32" w:name="_GoBack"/>
      <w:bookmarkEnd w:id="32"/>
    </w:p>
    <w:p w14:paraId="5AB1C47A">
      <w:pPr>
        <w:tabs>
          <w:tab w:val="left" w:pos="1050"/>
          <w:tab w:val="left" w:pos="2520"/>
        </w:tabs>
        <w:spacing w:line="440" w:lineRule="exact"/>
        <w:ind w:firstLine="420" w:firstLineChars="200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论述假释制度</w:t>
      </w:r>
    </w:p>
    <w:p w14:paraId="0A5CBA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74FEE5"/>
    <w:multiLevelType w:val="singleLevel"/>
    <w:tmpl w:val="7474FEE5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D5D65"/>
    <w:rsid w:val="03B8421D"/>
    <w:rsid w:val="25495A04"/>
    <w:rsid w:val="25981AB5"/>
    <w:rsid w:val="317433D6"/>
    <w:rsid w:val="3279475B"/>
    <w:rsid w:val="38433B03"/>
    <w:rsid w:val="53034162"/>
    <w:rsid w:val="62FD5D65"/>
    <w:rsid w:val="696D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fulltext-wrap_navbian"/>
    <w:basedOn w:val="1"/>
    <w:qFormat/>
    <w:uiPriority w:val="0"/>
    <w:pPr>
      <w:spacing w:line="576" w:lineRule="auto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2454</Words>
  <Characters>2475</Characters>
  <Lines>0</Lines>
  <Paragraphs>0</Paragraphs>
  <TotalTime>0</TotalTime>
  <ScaleCrop>false</ScaleCrop>
  <LinksUpToDate>false</LinksUpToDate>
  <CharactersWithSpaces>3523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2026-06-01T06:29:00Z</dcterms:created>
  <dc:creator>台州育华学校@刘老师</dc:creator>
  <cp:lastModifiedBy>育华教育叶燮燮</cp:lastModifiedBy>
  <dcterms:modified xsi:type="dcterms:W3CDTF">2026-06-03T09:08:52Z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8919E4D1B5D443CF83D93809DF058F4A_11</vt:lpwstr>
  </property>
  <property fmtid="{D5CDD505-2E9C-101B-9397-08002B2CF9AE}" pid="4" name="KSOTemplateDocerSaveRecord">
    <vt:lpwstr>eyJoZGlkIjoiZDAxOGQyZjRjY2ZhMTJlYmYwN2M1MmQ4MjlmMDk1OTYiLCJ1c2VySWQiOiIzNjI0MjU4ODQifQ==</vt:lpwstr>
  </property>
</Properties>
</file>