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B3878">
      <w:pPr>
        <w:pStyle w:val="2"/>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动物生理学复习资料</w:t>
      </w:r>
    </w:p>
    <w:p w14:paraId="12F9B02B">
      <w:pPr>
        <w:pStyle w:val="2"/>
        <w:rPr>
          <w:rFonts w:hint="default" w:ascii="Times New Roman" w:hAnsi="Times New Roman" w:eastAsia="仿宋" w:cs="Times New Roman"/>
          <w:sz w:val="24"/>
          <w:szCs w:val="24"/>
          <w:lang w:val="en-US" w:eastAsia="zh-CN"/>
        </w:rPr>
      </w:pPr>
    </w:p>
    <w:p w14:paraId="539A92BA">
      <w:pPr>
        <w:pStyle w:val="2"/>
        <w:rPr>
          <w:rFonts w:ascii="Times New Roman" w:hAnsi="Times New Roman" w:eastAsia="仿宋" w:cs="Times New Roman"/>
          <w:b/>
          <w:bCs/>
          <w:sz w:val="24"/>
          <w:szCs w:val="24"/>
        </w:rPr>
      </w:pPr>
      <w:r>
        <w:rPr>
          <w:rFonts w:ascii="Times New Roman" w:hAnsi="Times New Roman" w:eastAsia="仿宋" w:cs="Times New Roman"/>
          <w:sz w:val="24"/>
          <w:szCs w:val="24"/>
        </w:rPr>
        <w:t>一、</w:t>
      </w:r>
      <w:r>
        <w:rPr>
          <w:rFonts w:ascii="Times New Roman" w:hAnsi="Times New Roman" w:eastAsia="仿宋" w:cs="Times New Roman"/>
          <w:b/>
          <w:bCs/>
          <w:sz w:val="24"/>
          <w:szCs w:val="24"/>
        </w:rPr>
        <w:t>请结合具体的例子阐述跨膜物质转运中被动转运和主动转运的特点和分类。</w:t>
      </w:r>
    </w:p>
    <w:p w14:paraId="4B3DBA9C">
      <w:pPr>
        <w:pStyle w:val="2"/>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（一）单纯扩散</w:t>
      </w:r>
    </w:p>
    <w:p w14:paraId="1A2CC818">
      <w:pPr>
        <w:pStyle w:val="2"/>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 脂溶性小分子物质由膜的高浓度一侧向低浓度一侧转运顺浓度差跨膜的转运过程（2分）。</w:t>
      </w:r>
    </w:p>
    <w:p w14:paraId="4304F6E4">
      <w:pPr>
        <w:pStyle w:val="2"/>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 举例：转运物质O</w:t>
      </w:r>
      <w:r>
        <w:rPr>
          <w:rFonts w:ascii="Times New Roman" w:hAnsi="Times New Roman" w:eastAsia="仿宋" w:cs="Times New Roman"/>
          <w:sz w:val="24"/>
          <w:szCs w:val="24"/>
          <w:vertAlign w:val="subscript"/>
        </w:rPr>
        <w:t>2</w:t>
      </w:r>
      <w:r>
        <w:rPr>
          <w:rFonts w:ascii="Times New Roman" w:hAnsi="Times New Roman" w:eastAsia="仿宋" w:cs="Times New Roman"/>
          <w:sz w:val="24"/>
          <w:szCs w:val="24"/>
        </w:rPr>
        <w:t>、CO</w:t>
      </w:r>
      <w:r>
        <w:rPr>
          <w:rFonts w:ascii="Times New Roman" w:hAnsi="Times New Roman" w:eastAsia="仿宋" w:cs="Times New Roman"/>
          <w:sz w:val="24"/>
          <w:szCs w:val="24"/>
          <w:vertAlign w:val="subscript"/>
        </w:rPr>
        <w:t>2</w:t>
      </w:r>
      <w:r>
        <w:rPr>
          <w:rFonts w:ascii="Times New Roman" w:hAnsi="Times New Roman" w:eastAsia="仿宋" w:cs="Times New Roman"/>
          <w:sz w:val="24"/>
          <w:szCs w:val="24"/>
        </w:rPr>
        <w:t>、NO、NH</w:t>
      </w:r>
      <w:r>
        <w:rPr>
          <w:rFonts w:ascii="Times New Roman" w:hAnsi="Times New Roman" w:eastAsia="仿宋" w:cs="Times New Roman"/>
          <w:sz w:val="24"/>
          <w:szCs w:val="24"/>
          <w:vertAlign w:val="subscript"/>
        </w:rPr>
        <w:t>3</w:t>
      </w:r>
      <w:r>
        <w:rPr>
          <w:rFonts w:ascii="Times New Roman" w:hAnsi="Times New Roman" w:eastAsia="仿宋" w:cs="Times New Roman"/>
          <w:sz w:val="24"/>
          <w:szCs w:val="24"/>
        </w:rPr>
        <w:t>、类固醇激素、脂肪酸、尿素、乙醇、甘油和水分子（1分）。</w:t>
      </w:r>
    </w:p>
    <w:p w14:paraId="30806F2E">
      <w:pPr>
        <w:pStyle w:val="2"/>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3. 特点：不需要蛋白质的协助，顺浓度梯度进行扩散，不需要耗能（2分）。</w:t>
      </w:r>
    </w:p>
    <w:p w14:paraId="4A361632">
      <w:pPr>
        <w:pStyle w:val="2"/>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（二）易化扩散</w:t>
      </w:r>
    </w:p>
    <w:p w14:paraId="7D6869E0">
      <w:pPr>
        <w:pStyle w:val="2"/>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非脂溶性物质或脂溶性小的物质借助膜转运蛋白质顺化学或电位梯度进行扩散（2分）。</w:t>
      </w:r>
    </w:p>
    <w:p w14:paraId="66A427EC">
      <w:pPr>
        <w:pStyle w:val="2"/>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w:t>
      </w:r>
      <w:r>
        <w:rPr>
          <w:rFonts w:ascii="Times New Roman" w:hAnsi="Times New Roman" w:cs="Times New Roman"/>
          <w:szCs w:val="24"/>
        </w:rPr>
        <w:t xml:space="preserve"> </w:t>
      </w:r>
      <w:r>
        <w:rPr>
          <w:rFonts w:ascii="Times New Roman" w:hAnsi="Times New Roman" w:eastAsia="仿宋" w:cs="Times New Roman"/>
          <w:sz w:val="24"/>
          <w:szCs w:val="24"/>
        </w:rPr>
        <w:t>载体介导的易化扩散（1分）</w:t>
      </w:r>
    </w:p>
    <w:p w14:paraId="429C86B0">
      <w:pPr>
        <w:pStyle w:val="2"/>
        <w:ind w:firstLine="480" w:firstLineChars="200"/>
        <w:jc w:val="left"/>
        <w:rPr>
          <w:rFonts w:ascii="Times New Roman" w:hAnsi="Times New Roman" w:eastAsia="仿宋" w:cs="Times New Roman"/>
          <w:sz w:val="24"/>
          <w:szCs w:val="24"/>
        </w:rPr>
      </w:pPr>
      <w:r>
        <w:rPr>
          <w:rFonts w:ascii="Times New Roman" w:hAnsi="Times New Roman" w:eastAsia="仿宋" w:cs="Times New Roman"/>
          <w:sz w:val="24"/>
          <w:szCs w:val="24"/>
        </w:rPr>
        <w:t>举例：葡萄糖和氨基酸的转运（1分）。特点（1）载体通常只结合并转运含有特定化学结构的物质（1分）。（2）饱和现象。细胞膜的转运蛋白总数以及与其转运物质结合的位点数目是相对固定的（1分）。（3）竞争性抑制作用（1分）。</w:t>
      </w:r>
    </w:p>
    <w:p w14:paraId="09E7F4BE">
      <w:pPr>
        <w:pStyle w:val="2"/>
        <w:ind w:firstLine="480" w:firstLineChars="200"/>
        <w:jc w:val="left"/>
        <w:rPr>
          <w:rFonts w:ascii="Times New Roman" w:hAnsi="Times New Roman" w:eastAsia="仿宋" w:cs="Times New Roman"/>
          <w:sz w:val="24"/>
          <w:szCs w:val="24"/>
        </w:rPr>
      </w:pPr>
      <w:r>
        <w:rPr>
          <w:rFonts w:ascii="Times New Roman" w:hAnsi="Times New Roman" w:eastAsia="仿宋" w:cs="Times New Roman"/>
          <w:sz w:val="24"/>
          <w:szCs w:val="24"/>
        </w:rPr>
        <w:t>2. 离子通道介导的易化扩散（1分）</w:t>
      </w:r>
    </w:p>
    <w:p w14:paraId="22A4D898">
      <w:pPr>
        <w:pStyle w:val="2"/>
        <w:ind w:firstLine="480" w:firstLineChars="200"/>
        <w:jc w:val="left"/>
        <w:rPr>
          <w:rFonts w:ascii="Times New Roman" w:hAnsi="Times New Roman" w:eastAsia="仿宋" w:cs="Times New Roman"/>
          <w:sz w:val="24"/>
          <w:szCs w:val="24"/>
        </w:rPr>
      </w:pPr>
      <w:r>
        <w:rPr>
          <w:rFonts w:ascii="Times New Roman" w:hAnsi="Times New Roman" w:eastAsia="仿宋" w:cs="Times New Roman"/>
          <w:sz w:val="24"/>
          <w:szCs w:val="24"/>
        </w:rPr>
        <w:t>离子以离子通道完成跨膜物质转运（1分）。</w:t>
      </w:r>
    </w:p>
    <w:p w14:paraId="29160235">
      <w:pPr>
        <w:pStyle w:val="2"/>
        <w:ind w:firstLine="480" w:firstLineChars="200"/>
        <w:jc w:val="left"/>
        <w:rPr>
          <w:rFonts w:ascii="Times New Roman" w:hAnsi="Times New Roman" w:eastAsia="仿宋" w:cs="Times New Roman"/>
          <w:sz w:val="24"/>
          <w:szCs w:val="24"/>
        </w:rPr>
      </w:pPr>
      <w:r>
        <w:rPr>
          <w:rFonts w:ascii="Times New Roman" w:hAnsi="Times New Roman" w:eastAsia="仿宋" w:cs="Times New Roman"/>
          <w:sz w:val="24"/>
          <w:szCs w:val="24"/>
        </w:rPr>
        <w:t>特点（1）转运速率快（1分）。（2）存在离子选择性（1分）。（3）通道有电压门控，化学门控，机械门控等（1分）。</w:t>
      </w:r>
    </w:p>
    <w:p w14:paraId="4C5F6D91">
      <w:pPr>
        <w:pStyle w:val="2"/>
        <w:numPr>
          <w:ilvl w:val="0"/>
          <w:numId w:val="1"/>
        </w:numPr>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主动转运</w:t>
      </w:r>
    </w:p>
    <w:p w14:paraId="03FB2401">
      <w:pPr>
        <w:pStyle w:val="2"/>
        <w:numPr>
          <w:ilvl w:val="0"/>
          <w:numId w:val="2"/>
        </w:numPr>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 xml:space="preserve"> 原发性主动转运（1分）：离子泵利用分解ATP产生的能量逆化学或电位梯度进行的主动转运（1分）。特点：利用ATP产生的能量逆化学或电位梯度（1分）。</w:t>
      </w:r>
    </w:p>
    <w:p w14:paraId="54A0E30C">
      <w:pPr>
        <w:pStyle w:val="2"/>
        <w:numPr>
          <w:ilvl w:val="0"/>
          <w:numId w:val="2"/>
        </w:numPr>
        <w:ind w:firstLine="480" w:firstLineChars="200"/>
        <w:rPr>
          <w:rFonts w:ascii="Times New Roman" w:hAnsi="Times New Roman" w:eastAsia="仿宋" w:cs="Times New Roman"/>
          <w:b/>
          <w:sz w:val="24"/>
          <w:szCs w:val="24"/>
        </w:rPr>
      </w:pPr>
      <w:r>
        <w:rPr>
          <w:rFonts w:ascii="Times New Roman" w:hAnsi="Times New Roman" w:eastAsia="仿宋" w:cs="Times New Roman"/>
          <w:sz w:val="24"/>
          <w:szCs w:val="24"/>
        </w:rPr>
        <w:t xml:space="preserve"> 继发性主动转运（1分）：间接利用细胞代谢释放的生物能而实现的主动转运过程（1分）。（1）协同转运：小肠和肾小管上皮细胞从细胞液或小管液总吸收葡萄糖和氨基酸的过程中葡萄糖或氨基酸间接利用钠泵分解ATP释放的能量逆浓度梯度转运（1分）。（2）同向转运：钠依赖性葡萄糖载体由肠腔一侧向小肠黏膜上皮细胞内转运葡萄糖的过程（1分）。（3）逆向转运：心肌细胞兴奋后向细胞外通过Na</w:t>
      </w:r>
      <w:r>
        <w:rPr>
          <w:rFonts w:ascii="Times New Roman" w:hAnsi="Times New Roman" w:eastAsia="仿宋" w:cs="Times New Roman"/>
          <w:sz w:val="24"/>
          <w:szCs w:val="24"/>
          <w:vertAlign w:val="superscript"/>
        </w:rPr>
        <w:t>2+</w:t>
      </w:r>
      <w:r>
        <w:rPr>
          <w:rFonts w:ascii="Times New Roman" w:hAnsi="Times New Roman" w:eastAsia="仿宋" w:cs="Times New Roman"/>
          <w:sz w:val="24"/>
          <w:szCs w:val="24"/>
        </w:rPr>
        <w:t>-Ca</w:t>
      </w:r>
      <w:r>
        <w:rPr>
          <w:rFonts w:ascii="Times New Roman" w:hAnsi="Times New Roman" w:eastAsia="仿宋" w:cs="Times New Roman"/>
          <w:sz w:val="24"/>
          <w:szCs w:val="24"/>
          <w:vertAlign w:val="superscript"/>
        </w:rPr>
        <w:t>2+</w:t>
      </w:r>
      <w:r>
        <w:rPr>
          <w:rFonts w:ascii="Times New Roman" w:hAnsi="Times New Roman" w:eastAsia="仿宋" w:cs="Times New Roman"/>
          <w:sz w:val="24"/>
          <w:szCs w:val="24"/>
        </w:rPr>
        <w:t>交换体转运Ca</w:t>
      </w:r>
      <w:r>
        <w:rPr>
          <w:rFonts w:ascii="Times New Roman" w:hAnsi="Times New Roman" w:eastAsia="仿宋" w:cs="Times New Roman"/>
          <w:sz w:val="24"/>
          <w:szCs w:val="24"/>
          <w:vertAlign w:val="superscript"/>
        </w:rPr>
        <w:t>2+</w:t>
      </w:r>
      <w:r>
        <w:rPr>
          <w:rFonts w:ascii="Times New Roman" w:hAnsi="Times New Roman" w:eastAsia="仿宋" w:cs="Times New Roman"/>
          <w:sz w:val="24"/>
          <w:szCs w:val="24"/>
        </w:rPr>
        <w:t>的过程（1分）</w:t>
      </w:r>
      <w:r>
        <w:rPr>
          <w:rFonts w:ascii="Times New Roman" w:hAnsi="Times New Roman" w:eastAsia="仿宋" w:cs="Times New Roman"/>
          <w:b/>
          <w:sz w:val="24"/>
          <w:szCs w:val="24"/>
        </w:rPr>
        <w:t>。</w:t>
      </w:r>
    </w:p>
    <w:p w14:paraId="5788B2BE">
      <w:pPr>
        <w:pStyle w:val="2"/>
        <w:rPr>
          <w:rFonts w:ascii="Times New Roman" w:hAnsi="Times New Roman" w:eastAsia="仿宋" w:cs="Times New Roman"/>
          <w:b/>
          <w:bCs/>
          <w:sz w:val="24"/>
          <w:szCs w:val="24"/>
        </w:rPr>
      </w:pPr>
      <w:r>
        <w:rPr>
          <w:rFonts w:ascii="Times New Roman" w:hAnsi="Times New Roman" w:eastAsia="仿宋" w:cs="Times New Roman"/>
          <w:b/>
          <w:bCs/>
          <w:sz w:val="24"/>
          <w:szCs w:val="24"/>
        </w:rPr>
        <w:t>二、一切活着的细胞无论静息期还是活动时期，都具有生物电现象。请阐述细胞未受到刺激以及受到刺激时生物电现象产生的机制和原理。</w:t>
      </w:r>
    </w:p>
    <w:p w14:paraId="43B8D46D">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sz w:val="24"/>
          <w:szCs w:val="24"/>
        </w:rPr>
        <w:t>（1）</w:t>
      </w:r>
      <w:r>
        <w:rPr>
          <w:rFonts w:ascii="Times New Roman" w:hAnsi="Times New Roman" w:eastAsia="仿宋" w:cs="Times New Roman"/>
          <w:color w:val="191919"/>
          <w:sz w:val="24"/>
          <w:szCs w:val="24"/>
          <w:shd w:val="clear" w:color="auto" w:fill="FFFFFF"/>
        </w:rPr>
        <w:t>静息电位</w:t>
      </w:r>
      <w:r>
        <w:rPr>
          <w:rFonts w:ascii="Times New Roman" w:hAnsi="Times New Roman" w:eastAsia="仿宋" w:cs="Times New Roman"/>
          <w:sz w:val="24"/>
          <w:szCs w:val="24"/>
        </w:rPr>
        <w:t>（2分）</w:t>
      </w:r>
    </w:p>
    <w:p w14:paraId="53BF37E4">
      <w:pPr>
        <w:pStyle w:val="2"/>
        <w:ind w:firstLine="480" w:firstLineChars="200"/>
        <w:rPr>
          <w:rFonts w:ascii="Times New Roman" w:hAnsi="Times New Roman" w:eastAsia="仿宋" w:cs="Times New Roman"/>
          <w:color w:val="191919"/>
          <w:sz w:val="24"/>
          <w:shd w:val="clear" w:color="auto" w:fill="FFFFFF"/>
        </w:rPr>
      </w:pPr>
      <w:r>
        <w:rPr>
          <w:rFonts w:ascii="Times New Roman" w:hAnsi="Times New Roman" w:eastAsia="仿宋" w:cs="Times New Roman"/>
          <w:color w:val="191919"/>
          <w:sz w:val="24"/>
          <w:shd w:val="clear" w:color="auto" w:fill="FFFFFF"/>
        </w:rPr>
        <w:t>指细胞未受到刺激时存在于细胞膜两侧的电位差，表现为外正内负，说明静息状态下膜内电位比膜外低</w:t>
      </w:r>
      <w:r>
        <w:rPr>
          <w:rFonts w:ascii="Times New Roman" w:hAnsi="Times New Roman" w:eastAsia="仿宋" w:cs="Times New Roman"/>
          <w:sz w:val="24"/>
          <w:szCs w:val="24"/>
        </w:rPr>
        <w:t>（2分）</w:t>
      </w:r>
      <w:r>
        <w:rPr>
          <w:rFonts w:ascii="Times New Roman" w:hAnsi="Times New Roman" w:eastAsia="仿宋" w:cs="Times New Roman"/>
          <w:color w:val="191919"/>
          <w:sz w:val="24"/>
          <w:shd w:val="clear" w:color="auto" w:fill="FFFFFF"/>
        </w:rPr>
        <w:t>。</w:t>
      </w:r>
    </w:p>
    <w:p w14:paraId="125C73EA">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在静息状态下，细胞膜内K</w:t>
      </w:r>
      <w:r>
        <w:rPr>
          <w:rFonts w:ascii="Times New Roman" w:hAnsi="Times New Roman" w:eastAsia="仿宋" w:cs="Times New Roman"/>
          <w:color w:val="191919"/>
          <w:sz w:val="24"/>
          <w:szCs w:val="24"/>
          <w:shd w:val="clear" w:color="auto" w:fill="FFFFFF"/>
          <w:vertAlign w:val="superscript"/>
        </w:rPr>
        <w:t>+</w:t>
      </w:r>
      <w:r>
        <w:rPr>
          <w:rFonts w:ascii="Times New Roman" w:hAnsi="Times New Roman" w:eastAsia="仿宋" w:cs="Times New Roman"/>
          <w:color w:val="191919"/>
          <w:sz w:val="24"/>
          <w:szCs w:val="24"/>
          <w:shd w:val="clear" w:color="auto" w:fill="FFFFFF"/>
        </w:rPr>
        <w:t>的高浓度</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和安静时膜主要对K</w:t>
      </w:r>
      <w:r>
        <w:rPr>
          <w:rFonts w:ascii="Times New Roman" w:hAnsi="Times New Roman" w:eastAsia="仿宋" w:cs="Times New Roman"/>
          <w:color w:val="191919"/>
          <w:sz w:val="24"/>
          <w:szCs w:val="24"/>
          <w:shd w:val="clear" w:color="auto" w:fill="FFFFFF"/>
          <w:vertAlign w:val="superscript"/>
        </w:rPr>
        <w:t>+</w:t>
      </w:r>
      <w:r>
        <w:rPr>
          <w:rFonts w:ascii="Times New Roman" w:hAnsi="Times New Roman" w:eastAsia="仿宋" w:cs="Times New Roman"/>
          <w:color w:val="191919"/>
          <w:sz w:val="24"/>
          <w:szCs w:val="24"/>
          <w:shd w:val="clear" w:color="auto" w:fill="FFFFFF"/>
        </w:rPr>
        <w:t>的通透性</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，是大多数细胞产生和维持静息电位的主要原因（K</w:t>
      </w:r>
      <w:r>
        <w:rPr>
          <w:rFonts w:ascii="Times New Roman" w:hAnsi="Times New Roman" w:eastAsia="仿宋" w:cs="Times New Roman"/>
          <w:color w:val="191919"/>
          <w:sz w:val="24"/>
          <w:szCs w:val="24"/>
          <w:shd w:val="clear" w:color="auto" w:fill="FFFFFF"/>
          <w:vertAlign w:val="superscript"/>
        </w:rPr>
        <w:t>+</w:t>
      </w:r>
      <w:r>
        <w:rPr>
          <w:rFonts w:ascii="Times New Roman" w:hAnsi="Times New Roman" w:eastAsia="仿宋" w:cs="Times New Roman"/>
          <w:color w:val="191919"/>
          <w:sz w:val="24"/>
          <w:szCs w:val="24"/>
          <w:shd w:val="clear" w:color="auto" w:fill="FFFFFF"/>
        </w:rPr>
        <w:t>的平衡电位）。</w:t>
      </w:r>
    </w:p>
    <w:p w14:paraId="6A9E6698">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（2）在静息电位的基础上，给细胞一个适当的刺激，触发其产生可传播的瞬间膜电位波动，称为动作电位 (action potential)</w:t>
      </w:r>
      <w:r>
        <w:rPr>
          <w:rFonts w:ascii="Times New Roman" w:hAnsi="Times New Roman" w:eastAsia="仿宋" w:cs="Times New Roman"/>
          <w:sz w:val="24"/>
          <w:szCs w:val="24"/>
        </w:rPr>
        <w:t xml:space="preserve"> （2分）</w:t>
      </w:r>
      <w:r>
        <w:rPr>
          <w:rFonts w:ascii="Times New Roman" w:hAnsi="Times New Roman" w:eastAsia="仿宋" w:cs="Times New Roman"/>
          <w:color w:val="191919"/>
          <w:sz w:val="24"/>
          <w:szCs w:val="24"/>
          <w:shd w:val="clear" w:color="auto" w:fill="FFFFFF"/>
        </w:rPr>
        <w:t>。</w:t>
      </w:r>
    </w:p>
    <w:p w14:paraId="29DC50F5">
      <w:pPr>
        <w:pStyle w:val="2"/>
        <w:ind w:firstLine="480" w:firstLineChars="200"/>
        <w:rPr>
          <w:rFonts w:ascii="Times New Roman" w:hAnsi="Times New Roman" w:eastAsia="仿宋" w:cs="Times New Roman"/>
          <w:color w:val="191919"/>
          <w:sz w:val="24"/>
          <w:shd w:val="clear" w:color="auto" w:fill="FFFFFF"/>
        </w:rPr>
      </w:pPr>
      <w:r>
        <w:rPr>
          <w:rFonts w:ascii="Times New Roman" w:hAnsi="Times New Roman" w:eastAsia="仿宋" w:cs="Times New Roman"/>
          <w:color w:val="191919"/>
          <w:sz w:val="24"/>
          <w:shd w:val="clear" w:color="auto" w:fill="FFFFFF"/>
        </w:rPr>
        <w:t>第一阶段</w:t>
      </w:r>
      <w:r>
        <w:rPr>
          <w:rFonts w:ascii="Times New Roman" w:hAnsi="Times New Roman" w:eastAsia="仿宋" w:cs="Times New Roman"/>
          <w:sz w:val="24"/>
          <w:szCs w:val="24"/>
        </w:rPr>
        <w:t>（5分）</w:t>
      </w:r>
      <w:r>
        <w:rPr>
          <w:rFonts w:ascii="Times New Roman" w:hAnsi="Times New Roman" w:eastAsia="仿宋" w:cs="Times New Roman"/>
          <w:color w:val="191919"/>
          <w:sz w:val="24"/>
          <w:shd w:val="clear" w:color="auto" w:fill="FFFFFF"/>
        </w:rPr>
        <w:t>：动作电位上升支的形成（去极化相的形成）</w:t>
      </w:r>
    </w:p>
    <w:p w14:paraId="041A9B27">
      <w:pPr>
        <w:pStyle w:val="2"/>
        <w:ind w:firstLine="480" w:firstLineChars="200"/>
        <w:rPr>
          <w:rFonts w:ascii="Times New Roman" w:hAnsi="Times New Roman" w:eastAsia="仿宋" w:cs="Times New Roman"/>
          <w:color w:val="191919"/>
          <w:sz w:val="24"/>
          <w:shd w:val="clear" w:color="auto" w:fill="FFFFFF"/>
        </w:rPr>
      </w:pPr>
      <w:r>
        <w:rPr>
          <w:rFonts w:ascii="Times New Roman" w:hAnsi="Times New Roman" w:eastAsia="仿宋" w:cs="Times New Roman"/>
          <w:color w:val="191919"/>
          <w:sz w:val="24"/>
          <w:shd w:val="clear" w:color="auto" w:fill="FFFFFF"/>
        </w:rPr>
        <w:t>由于刺激引起膜对Na</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的通透性瞬间增大（Na</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通道被激活），膜外的Na</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内流，使膜电位由-70 mV增加至0 mV，进而上升为+30 mV，Na</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通道随之失活。</w:t>
      </w:r>
    </w:p>
    <w:p w14:paraId="79A5A57B">
      <w:pPr>
        <w:pStyle w:val="2"/>
        <w:ind w:firstLine="480" w:firstLineChars="200"/>
        <w:rPr>
          <w:rFonts w:ascii="Times New Roman" w:hAnsi="Times New Roman" w:eastAsia="仿宋" w:cs="Times New Roman"/>
          <w:color w:val="191919"/>
          <w:sz w:val="24"/>
          <w:shd w:val="clear" w:color="auto" w:fill="FFFFFF"/>
        </w:rPr>
      </w:pPr>
      <w:r>
        <w:rPr>
          <w:rFonts w:ascii="Times New Roman" w:hAnsi="Times New Roman" w:eastAsia="仿宋" w:cs="Times New Roman"/>
          <w:color w:val="191919"/>
          <w:sz w:val="24"/>
          <w:shd w:val="clear" w:color="auto" w:fill="FFFFFF"/>
        </w:rPr>
        <w:t>第二阶段</w:t>
      </w:r>
      <w:r>
        <w:rPr>
          <w:rFonts w:ascii="Times New Roman" w:hAnsi="Times New Roman" w:eastAsia="仿宋" w:cs="Times New Roman"/>
          <w:sz w:val="24"/>
          <w:szCs w:val="24"/>
        </w:rPr>
        <w:t>（5分）</w:t>
      </w:r>
      <w:r>
        <w:rPr>
          <w:rFonts w:ascii="Times New Roman" w:hAnsi="Times New Roman" w:eastAsia="仿宋" w:cs="Times New Roman"/>
          <w:color w:val="191919"/>
          <w:sz w:val="24"/>
          <w:shd w:val="clear" w:color="auto" w:fill="FFFFFF"/>
        </w:rPr>
        <w:t>：动作电位下降支形成</w:t>
      </w:r>
    </w:p>
    <w:p w14:paraId="0879FD0A">
      <w:pPr>
        <w:pStyle w:val="2"/>
        <w:ind w:firstLine="480" w:firstLineChars="200"/>
        <w:rPr>
          <w:rFonts w:ascii="Times New Roman" w:hAnsi="Times New Roman" w:eastAsia="仿宋" w:cs="Times New Roman"/>
          <w:color w:val="191919"/>
          <w:sz w:val="24"/>
          <w:shd w:val="clear" w:color="auto" w:fill="FFFFFF"/>
        </w:rPr>
      </w:pPr>
      <w:r>
        <w:rPr>
          <w:rFonts w:ascii="Times New Roman" w:hAnsi="Times New Roman" w:eastAsia="仿宋" w:cs="Times New Roman"/>
          <w:color w:val="191919"/>
          <w:sz w:val="24"/>
          <w:shd w:val="clear" w:color="auto" w:fill="FFFFFF"/>
        </w:rPr>
        <w:t>Na</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通道失活后，膜恢复了对K</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的通透性，大量的K</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外流。使膜电位由正值向负值转变，形成了动作电位的下降支。动作电位是在极短的时间内产生的，因此，在体外描记的图形为一个短促而尖锐的脉冲图形，似山峰般，称为峰电位（</w:t>
      </w:r>
      <w:r>
        <w:rPr>
          <w:rFonts w:ascii="Times New Roman" w:hAnsi="Times New Roman" w:eastAsia="仿宋" w:cs="Times New Roman"/>
          <w:color w:val="191919"/>
          <w:sz w:val="24"/>
          <w:shd w:val="clear" w:color="auto" w:fill="FFFFFF"/>
          <w:lang w:val="en-GB"/>
        </w:rPr>
        <w:t>Spike potential</w:t>
      </w:r>
      <w:r>
        <w:rPr>
          <w:rFonts w:ascii="Times New Roman" w:hAnsi="Times New Roman" w:eastAsia="仿宋" w:cs="Times New Roman"/>
          <w:color w:val="191919"/>
          <w:sz w:val="24"/>
          <w:shd w:val="clear" w:color="auto" w:fill="FFFFFF"/>
        </w:rPr>
        <w:t>）。</w:t>
      </w:r>
    </w:p>
    <w:p w14:paraId="0D973105">
      <w:pPr>
        <w:pStyle w:val="2"/>
        <w:ind w:firstLine="480" w:firstLineChars="200"/>
        <w:rPr>
          <w:rFonts w:ascii="Times New Roman" w:hAnsi="Times New Roman" w:eastAsia="仿宋" w:cs="Times New Roman"/>
          <w:color w:val="191919"/>
          <w:sz w:val="24"/>
          <w:shd w:val="clear" w:color="auto" w:fill="FFFFFF"/>
        </w:rPr>
      </w:pPr>
      <w:r>
        <w:rPr>
          <w:rFonts w:ascii="Times New Roman" w:hAnsi="Times New Roman" w:eastAsia="仿宋" w:cs="Times New Roman"/>
          <w:color w:val="191919"/>
          <w:sz w:val="24"/>
          <w:shd w:val="clear" w:color="auto" w:fill="FFFFFF"/>
        </w:rPr>
        <w:t>第三阶段</w:t>
      </w:r>
      <w:r>
        <w:rPr>
          <w:rFonts w:ascii="Times New Roman" w:hAnsi="Times New Roman" w:eastAsia="仿宋" w:cs="Times New Roman"/>
          <w:sz w:val="24"/>
          <w:szCs w:val="24"/>
        </w:rPr>
        <w:t>（5分）</w:t>
      </w:r>
      <w:r>
        <w:rPr>
          <w:rFonts w:ascii="Times New Roman" w:hAnsi="Times New Roman" w:eastAsia="仿宋" w:cs="Times New Roman"/>
          <w:color w:val="191919"/>
          <w:sz w:val="24"/>
          <w:shd w:val="clear" w:color="auto" w:fill="FFFFFF"/>
        </w:rPr>
        <w:t>：后电位的形成</w:t>
      </w:r>
    </w:p>
    <w:p w14:paraId="7C405831">
      <w:pPr>
        <w:pStyle w:val="2"/>
        <w:ind w:firstLine="480" w:firstLineChars="200"/>
        <w:rPr>
          <w:rFonts w:ascii="Times New Roman" w:hAnsi="Times New Roman" w:eastAsia="仿宋" w:cs="Times New Roman"/>
          <w:color w:val="191919"/>
          <w:sz w:val="24"/>
          <w:shd w:val="clear" w:color="auto" w:fill="FFFFFF"/>
        </w:rPr>
      </w:pPr>
      <w:r>
        <w:rPr>
          <w:rFonts w:ascii="Times New Roman" w:hAnsi="Times New Roman" w:eastAsia="仿宋" w:cs="Times New Roman"/>
          <w:color w:val="191919"/>
          <w:sz w:val="24"/>
          <w:shd w:val="clear" w:color="auto" w:fill="FFFFFF"/>
        </w:rPr>
        <w:t>当膜电位接近静息电位水平时，K</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的跨膜转运停止。随后，膜上的Na</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-K</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泵（Na</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-K</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-ATP酶）被激活，将膜内的Na</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离子向膜外转运，同时，将膜外的K</w:t>
      </w:r>
      <w:r>
        <w:rPr>
          <w:rFonts w:ascii="Times New Roman" w:hAnsi="Times New Roman" w:eastAsia="仿宋" w:cs="Times New Roman"/>
          <w:color w:val="191919"/>
          <w:sz w:val="24"/>
          <w:shd w:val="clear" w:color="auto" w:fill="FFFFFF"/>
          <w:vertAlign w:val="superscript"/>
        </w:rPr>
        <w:t>+</w:t>
      </w:r>
      <w:r>
        <w:rPr>
          <w:rFonts w:ascii="Times New Roman" w:hAnsi="Times New Roman" w:eastAsia="仿宋" w:cs="Times New Roman"/>
          <w:color w:val="191919"/>
          <w:sz w:val="24"/>
          <w:shd w:val="clear" w:color="auto" w:fill="FFFFFF"/>
        </w:rPr>
        <w:t>向膜内运输，形成了负后和正后电位</w:t>
      </w:r>
      <w:r>
        <w:rPr>
          <w:rFonts w:ascii="Times New Roman" w:hAnsi="Times New Roman" w:eastAsia="仿宋" w:cs="Times New Roman"/>
          <w:b/>
          <w:bCs/>
          <w:color w:val="191919"/>
          <w:sz w:val="24"/>
          <w:shd w:val="clear" w:color="auto" w:fill="FFFFFF"/>
        </w:rPr>
        <w:t>。</w:t>
      </w:r>
    </w:p>
    <w:p w14:paraId="5AB367D8">
      <w:pPr>
        <w:pStyle w:val="2"/>
        <w:rPr>
          <w:rFonts w:ascii="Times New Roman" w:hAnsi="Times New Roman" w:eastAsia="仿宋" w:cs="Times New Roman"/>
          <w:color w:val="191919"/>
          <w:sz w:val="24"/>
          <w:szCs w:val="24"/>
          <w:shd w:val="clear" w:color="auto" w:fill="FFFFFF"/>
        </w:rPr>
      </w:pPr>
    </w:p>
    <w:p w14:paraId="0886A05A">
      <w:pPr>
        <w:pStyle w:val="2"/>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三、</w:t>
      </w:r>
      <w:r>
        <w:rPr>
          <w:rFonts w:ascii="Times New Roman" w:hAnsi="Times New Roman" w:eastAsia="仿宋" w:cs="Times New Roman"/>
          <w:b/>
          <w:bCs/>
          <w:sz w:val="24"/>
          <w:szCs w:val="24"/>
        </w:rPr>
        <w:t>阐述消化道平滑肌一般生理特征和电生理特征。</w:t>
      </w:r>
    </w:p>
    <w:p w14:paraId="4F503A62">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消化道平滑肌的一般生理特征：</w:t>
      </w:r>
    </w:p>
    <w:p w14:paraId="1853FF2E">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1. 兴奋性低，收缩缓慢</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w:t>
      </w:r>
    </w:p>
    <w:p w14:paraId="41970E03">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2. 自律性</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w:t>
      </w:r>
    </w:p>
    <w:p w14:paraId="36EA3A5F">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3. 较大的伸展性</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w:t>
      </w:r>
    </w:p>
    <w:p w14:paraId="65A5D49C">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4. 持续的紧张性</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w:t>
      </w:r>
    </w:p>
    <w:p w14:paraId="047E2E03">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5. 对化学温度和牵张刺激较敏感，但对电刺激、切割不敏感</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w:t>
      </w:r>
    </w:p>
    <w:p w14:paraId="0C14FB85">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消化道电生理特征：</w:t>
      </w:r>
    </w:p>
    <w:p w14:paraId="77B7CDF4">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1. 静息电位 -50~-60mV，K</w:t>
      </w:r>
      <w:r>
        <w:rPr>
          <w:rFonts w:ascii="Times New Roman" w:hAnsi="Times New Roman" w:eastAsia="仿宋" w:cs="Times New Roman"/>
          <w:color w:val="191919"/>
          <w:sz w:val="24"/>
          <w:szCs w:val="24"/>
          <w:shd w:val="clear" w:color="auto" w:fill="FFFFFF"/>
          <w:vertAlign w:val="superscript"/>
        </w:rPr>
        <w:t>+</w:t>
      </w:r>
      <w:r>
        <w:rPr>
          <w:rFonts w:ascii="Times New Roman" w:hAnsi="Times New Roman" w:eastAsia="仿宋" w:cs="Times New Roman"/>
          <w:color w:val="191919"/>
          <w:sz w:val="24"/>
          <w:szCs w:val="24"/>
          <w:shd w:val="clear" w:color="auto" w:fill="FFFFFF"/>
        </w:rPr>
        <w:t>的平衡电位</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w:t>
      </w:r>
    </w:p>
    <w:p w14:paraId="2C4D4D7C">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2. 慢波电位（slow wave potential）或基本电节律（basic electrical rhythm，BER）</w:t>
      </w:r>
      <w:r>
        <w:rPr>
          <w:rFonts w:ascii="Times New Roman" w:hAnsi="Times New Roman" w:eastAsia="仿宋" w:cs="Times New Roman"/>
          <w:sz w:val="24"/>
          <w:szCs w:val="24"/>
        </w:rPr>
        <w:t>（2分）</w:t>
      </w:r>
    </w:p>
    <w:p w14:paraId="2B90152A">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自发生的去极化和复极化，由此产生有节律的膜电位变化，且频率较慢</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；本身不引起平滑肌收缩，他能使膜电位渐进阈电位水平，有利于AP的产生</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；持续时间长，数秒至数十秒</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；来源于Cajal细胞-间质细胞</w:t>
      </w:r>
      <w:r>
        <w:rPr>
          <w:rFonts w:ascii="Times New Roman" w:hAnsi="Times New Roman" w:eastAsia="仿宋" w:cs="Times New Roman"/>
          <w:sz w:val="24"/>
          <w:szCs w:val="24"/>
        </w:rPr>
        <w:t>（1分）</w:t>
      </w:r>
      <w:r>
        <w:rPr>
          <w:rFonts w:ascii="Times New Roman" w:hAnsi="Times New Roman" w:eastAsia="仿宋" w:cs="Times New Roman"/>
          <w:color w:val="191919"/>
          <w:sz w:val="24"/>
          <w:szCs w:val="24"/>
          <w:shd w:val="clear" w:color="auto" w:fill="FFFFFF"/>
        </w:rPr>
        <w:t>。</w:t>
      </w:r>
    </w:p>
    <w:p w14:paraId="2C0B7D90">
      <w:pPr>
        <w:pStyle w:val="2"/>
        <w:ind w:firstLine="480" w:firstLineChars="200"/>
        <w:rPr>
          <w:rFonts w:ascii="Times New Roman" w:hAnsi="Times New Roman" w:eastAsia="仿宋" w:cs="Times New Roman"/>
          <w:color w:val="191919"/>
          <w:sz w:val="24"/>
          <w:szCs w:val="24"/>
          <w:shd w:val="clear" w:color="auto" w:fill="FFFFFF"/>
        </w:rPr>
      </w:pPr>
      <w:r>
        <w:rPr>
          <w:rFonts w:ascii="Times New Roman" w:hAnsi="Times New Roman" w:eastAsia="仿宋" w:cs="Times New Roman"/>
          <w:color w:val="191919"/>
          <w:sz w:val="24"/>
          <w:szCs w:val="24"/>
          <w:shd w:val="clear" w:color="auto" w:fill="FFFFFF"/>
        </w:rPr>
        <w:t>3. 动作电位</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。慢波电位的基础上产生的。Ca</w:t>
      </w:r>
      <w:r>
        <w:rPr>
          <w:rFonts w:ascii="Times New Roman" w:hAnsi="Times New Roman" w:eastAsia="仿宋" w:cs="Times New Roman"/>
          <w:color w:val="191919"/>
          <w:sz w:val="24"/>
          <w:szCs w:val="24"/>
          <w:shd w:val="clear" w:color="auto" w:fill="FFFFFF"/>
          <w:vertAlign w:val="superscript"/>
        </w:rPr>
        <w:t>2+</w:t>
      </w:r>
      <w:r>
        <w:rPr>
          <w:rFonts w:ascii="Times New Roman" w:hAnsi="Times New Roman" w:eastAsia="仿宋" w:cs="Times New Roman"/>
          <w:color w:val="191919"/>
          <w:sz w:val="24"/>
          <w:szCs w:val="24"/>
          <w:shd w:val="clear" w:color="auto" w:fill="FFFFFF"/>
        </w:rPr>
        <w:t>的内流。10-20 ms，幅度60-70 mV</w:t>
      </w:r>
      <w:r>
        <w:rPr>
          <w:rFonts w:ascii="Times New Roman" w:hAnsi="Times New Roman" w:eastAsia="仿宋" w:cs="Times New Roman"/>
          <w:sz w:val="24"/>
          <w:szCs w:val="24"/>
        </w:rPr>
        <w:t>（2分）</w:t>
      </w:r>
      <w:r>
        <w:rPr>
          <w:rFonts w:ascii="Times New Roman" w:hAnsi="Times New Roman" w:eastAsia="仿宋" w:cs="Times New Roman"/>
          <w:color w:val="191919"/>
          <w:sz w:val="24"/>
          <w:szCs w:val="24"/>
          <w:shd w:val="clear" w:color="auto" w:fill="FFFFFF"/>
        </w:rPr>
        <w:t>。</w:t>
      </w:r>
    </w:p>
    <w:p w14:paraId="5188BC6E">
      <w:pPr>
        <w:pStyle w:val="2"/>
        <w:rPr>
          <w:rFonts w:ascii="Times New Roman" w:hAnsi="Times New Roman" w:eastAsia="仿宋" w:cs="Times New Roman"/>
          <w:color w:val="191919"/>
          <w:sz w:val="24"/>
          <w:szCs w:val="24"/>
          <w:shd w:val="clear" w:color="auto" w:fill="FFFFFF"/>
        </w:rPr>
      </w:pPr>
    </w:p>
    <w:p w14:paraId="5C90AEB5">
      <w:bookmarkStart w:id="0" w:name="_GoBack"/>
      <w:bookmarkEnd w:id="0"/>
    </w:p>
    <w:sectPr>
      <w:footerReference r:id="rId3" w:type="default"/>
      <w:pgSz w:w="12240" w:h="15840"/>
      <w:pgMar w:top="1440" w:right="1440" w:bottom="1440" w:left="144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2829538"/>
      <w:docPartObj>
        <w:docPartGallery w:val="autotext"/>
      </w:docPartObj>
    </w:sdtPr>
    <w:sdtContent>
      <w:sdt>
        <w:sdtPr>
          <w:id w:val="1728636285"/>
          <w:docPartObj>
            <w:docPartGallery w:val="autotext"/>
          </w:docPartObj>
        </w:sdtPr>
        <w:sdtContent>
          <w:p w14:paraId="6985D472">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23CA45DC">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4ED23"/>
    <w:multiLevelType w:val="singleLevel"/>
    <w:tmpl w:val="DFE4ED23"/>
    <w:lvl w:ilvl="0" w:tentative="0">
      <w:start w:val="2"/>
      <w:numFmt w:val="chineseCounting"/>
      <w:suff w:val="nothing"/>
      <w:lvlText w:val="（%1）"/>
      <w:lvlJc w:val="left"/>
      <w:rPr>
        <w:rFonts w:hint="eastAsia"/>
      </w:rPr>
    </w:lvl>
  </w:abstractNum>
  <w:abstractNum w:abstractNumId="1">
    <w:nsid w:val="2B482BBD"/>
    <w:multiLevelType w:val="singleLevel"/>
    <w:tmpl w:val="2B482BBD"/>
    <w:lvl w:ilvl="0" w:tentative="0">
      <w:start w:val="1"/>
      <w:numFmt w:val="decimal"/>
      <w:suff w:val="nothing"/>
      <w:lvlText w:val="%1."/>
      <w:lvlJc w:val="left"/>
      <w:rPr>
        <w:rFonts w:ascii="Times New Roman" w:hAnsi="Times New Roman" w:eastAsia="宋体"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AC4F13"/>
    <w:rsid w:val="5AAC4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2026-01-15T04:47:00Z</dcterms:created>
  <dc:creator>黄岩育华李才聪</dc:creator>
  <cp:lastModifiedBy>黄岩育华李才聪</cp:lastModifiedBy>
  <dcterms:modified xsi:type="dcterms:W3CDTF">2026-01-15T05:00:00Z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13965D82EDFB474C96D97D6D80F7C6B4_11</vt:lpwstr>
  </property>
  <property fmtid="{D5CDD505-2E9C-101B-9397-08002B2CF9AE}" pid="4" name="KSOTemplateDocerSaveRecord">
    <vt:lpwstr>eyJoZGlkIjoiZmQ4ZTQyZDdmOTI0NjQ5MTBlMjM4MTBkY2Y5N2MwMzYiLCJ1c2VySWQiOiI0NTY2Nzc2NjkifQ==</vt:lpwstr>
  </property>
</Properties>
</file>