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eastAsia="zh-CN"/>
        </w:rPr>
        <w:t>司法文书写作</w:t>
      </w:r>
    </w:p>
    <w:p>
      <w:pPr>
        <w:numPr>
          <w:ilvl w:val="0"/>
          <w:numId w:val="1"/>
        </w:numPr>
        <w:tabs>
          <w:tab w:val="left" w:pos="3828"/>
          <w:tab w:val="left" w:pos="4111"/>
        </w:tabs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单项选择题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1.在法律文书的理由中除应论证认定事实的理由外，更应论证(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A.当事人参加诉讼的理由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B.适用法律的理由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C.诉讼费用负担的理由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D.公开审理的理由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2.第一审行政判决书中，被告的基本情况应当写明(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A.被告名称、所在地址、法定代表人姓名、性别和职务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B.被告名称、住所和经营范围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C.被告名称、法定代表人姓名和职务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D.法定代表人姓名、性别、职务和所在地址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3.公安机关办案部门对于已查清犯罪事实，确认了犯罪嫌疑人，并收集了确凿证据的刑事案件，报请领导批准破案的书面报告是(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A.破案报告书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B.刑事案件破案报告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C.呈请破案报告书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D.刑事案件破案总结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4.第一审刑事判决书尾部年月日的下行，书记员署名的左上方，应盖上戳记。戳记的内容是(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A.本件与原本核对无异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B.经核对本件与原本相符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C.经核对本件与原本无误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D.原本与本件核对相同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5.监狱起诉意见书送达的机关是(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A.人民法院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B.人民检察院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C.监狱管理机关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D.公安机关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6.公诉意见书在论证部分结束后，应概括阐明人民检察院对本案被告人依法(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A.提出起诉的决定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B.提起公诉的原因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C.定罪量刑的意见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D.提起公诉的目的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7.人民法院制作的第一审刑事判决书中，公诉机关应写为(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A.公诉机关×××人民检察院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B.公诉人×××人民检察院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C.起诉机关×××人民检察院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D.指控机关×××人民检察院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8.呈请拘留报告书应写明被拘留人的基本情况及(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A.工作经历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B.主要学历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C.个人简历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D.违法犯罪经历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9.行政裁判文书的事实部分，叙写争议焦点应突出(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A.原告诉讼请求是否合理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B.行政机关的具体行政行为是否合法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C.原告诉讼请求是否合情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D.被告人具体行政行为是否合理合法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10.法律文书的语体风格属于(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A.记叙文语体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B.说明文语体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C.议论文语体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D.公文语体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11.监狱在年终对罪犯进行评审、鉴定时填写的表格式文书是(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A.罪犯评审鉴定表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B.罪犯奖励审批表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C.年终评审登记表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D.罪犯奖惩审批表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12.人民检察院经过侦查或审查确认被告人的行为构成犯罪，应依法交付审判，向人民法院提起公诉时制作的文书是(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A.公诉意见书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B.公诉词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C.起诉意见书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D.起诉书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13.当事人在合同履行中产生争议时，依法向仲裁委员会申请仲裁使用的文书是(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A.仲裁协议书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B.仲裁申请书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C.仲裁答辩书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D.仲裁调解书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14.当事人制作的请求公证机构对一定的法律行为、法律事实或有法律意义的文书予以公证的申请文书是(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A.提请公证书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B.请求公证书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C.公证请求书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D.公证申请书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15.评议笔录的正文应当记明评议的(      )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A.方式和方法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B.人员和数量</w:t>
      </w:r>
    </w:p>
    <w:p>
      <w:pPr>
        <w:rPr>
          <w:rFonts w:hint="eastAsia"/>
        </w:rPr>
      </w:pPr>
      <w:r>
        <w:rPr>
          <w:rFonts w:hint="eastAsia" w:ascii="宋体" w:hAnsi="宋体"/>
          <w:szCs w:val="21"/>
        </w:rPr>
        <w:t>C.情况和结果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           </w:t>
      </w:r>
      <w:r>
        <w:rPr>
          <w:rFonts w:hint="eastAsia" w:ascii="宋体" w:hAnsi="宋体"/>
          <w:szCs w:val="21"/>
        </w:rPr>
        <w:t>D.时间和地点</w:t>
      </w:r>
      <w:r>
        <w:rPr>
          <w:rFonts w:hint="eastAsia"/>
        </w:rPr>
        <w:t xml:space="preserve"> 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二、简答题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16.第一审刑事判决书的案号由哪些要素组成？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17.什么是公安机关立案决定书？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18．监狱起诉意见书与公安机关起诉意见书的主要区别有哪些？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19．什么是现场勘查笔录？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numPr>
          <w:ilvl w:val="0"/>
          <w:numId w:val="2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仲裁裁决书的正文部分应当写明哪些内容？</w:t>
      </w: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2"/>
        </w:numPr>
        <w:tabs>
          <w:tab w:val="left" w:pos="3828"/>
          <w:tab w:val="left" w:pos="4111"/>
        </w:tabs>
        <w:ind w:left="0" w:leftChars="0" w:firstLine="0" w:firstLineChars="0"/>
        <w:jc w:val="both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司法文书的概念、特点是什么？有何分类？</w:t>
      </w: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default" w:ascii="宋体" w:hAnsi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default" w:ascii="宋体" w:hAnsi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default" w:ascii="宋体" w:hAnsi="宋体"/>
          <w:szCs w:val="21"/>
          <w:lang w:val="en-US" w:eastAsia="zh-CN"/>
        </w:rPr>
      </w:pPr>
    </w:p>
    <w:p>
      <w:pPr>
        <w:widowControl w:val="0"/>
        <w:numPr>
          <w:ilvl w:val="0"/>
          <w:numId w:val="2"/>
        </w:numPr>
        <w:tabs>
          <w:tab w:val="left" w:pos="3828"/>
          <w:tab w:val="left" w:pos="4111"/>
        </w:tabs>
        <w:ind w:left="0" w:leftChars="0" w:firstLine="0" w:firstLineChars="0"/>
        <w:jc w:val="both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司法文书的语言运用有何要求？</w:t>
      </w: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default" w:ascii="宋体" w:hAnsi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default" w:ascii="宋体" w:hAnsi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default" w:ascii="宋体" w:hAnsi="宋体"/>
          <w:szCs w:val="21"/>
          <w:lang w:val="en-US" w:eastAsia="zh-CN"/>
        </w:rPr>
      </w:pPr>
    </w:p>
    <w:p>
      <w:pPr>
        <w:widowControl w:val="0"/>
        <w:numPr>
          <w:ilvl w:val="0"/>
          <w:numId w:val="2"/>
        </w:numPr>
        <w:tabs>
          <w:tab w:val="left" w:pos="3828"/>
          <w:tab w:val="left" w:pos="4111"/>
        </w:tabs>
        <w:ind w:left="0" w:leftChars="0" w:firstLine="0" w:firstLineChars="0"/>
        <w:jc w:val="both"/>
        <w:rPr>
          <w:rFonts w:hint="default" w:ascii="宋体" w:hAnsi="宋体"/>
          <w:szCs w:val="21"/>
          <w:lang w:val="en-US" w:eastAsia="zh-CN"/>
        </w:rPr>
      </w:pPr>
      <w:r>
        <w:rPr>
          <w:rFonts w:hint="default" w:ascii="宋体" w:hAnsi="宋体"/>
          <w:szCs w:val="21"/>
          <w:lang w:val="en-US" w:eastAsia="zh-CN"/>
        </w:rPr>
        <w:t>抗诉书的概念、内容与制作要求是什么？</w:t>
      </w: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default" w:ascii="宋体" w:hAnsi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828"/>
          <w:tab w:val="left" w:pos="4111"/>
        </w:tabs>
        <w:jc w:val="both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24.刑事案件的辩护词和民事案件的代理词有何异同？两者的内容与制作要求各是什么？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numPr>
          <w:ilvl w:val="0"/>
          <w:numId w:val="3"/>
        </w:numPr>
        <w:tabs>
          <w:tab w:val="left" w:pos="3828"/>
          <w:tab w:val="left" w:pos="4111"/>
        </w:tabs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写作主题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25</w:t>
      </w:r>
      <w:r>
        <w:rPr>
          <w:rFonts w:hint="eastAsia" w:ascii="宋体" w:hAnsi="宋体"/>
          <w:szCs w:val="21"/>
        </w:rPr>
        <w:t>根据下列案情材料，按照《法律文书写作》教材中的要求，拟写一份第二审民事判决书。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王华，男，39岁，汉族，××县××镇人，住××县××镇××街××号。张选，男，36岁，汉族，××县××镇人，住××县××镇××街××号。王华与张选系朋友关系。2006年7月5日，张选因做生意资金周转困难，向王华借款30000元，并向王华出具借条载明：今借到王华现金人民币叁万元整，期限一年，自2006年7月5日起至2007年7月5日止，到期还清。之后，双方口头约定张选应当支付王华4500元利息。一年后，王华多次催要，张选都以种种理由拒绝偿还借款。为此，王华向××县人民法院提起诉讼，要求张选归还借款及利息。一审法院审理查明，双方当事人之间的借款合同合法有效，张选应当承担还款付息的全部责任。为此判决：一、张选偿还王华借款本金30000元。二、张选支付王华借款利息4500元。借款本息应当在2007年12月20日之前付清。案件受理费450元，由张选负担。一审判决后，张选不服判决结果，向××省××市中级人民法院提起上诉。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张选上诉称，被上诉人在原审中提出的用于证明双方约定利息的录音证据，因录音未经本人同意，程序不合法，为无效证据。上诉人与被上诉人所立借条没有约定利息，一审法院判决上诉人支付4500元利息，没有事实和法律依据。请求二审法院依法撤销一审判决。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王华辩称，被上诉人已在一审中提供了证据，证明双方口头约定了4500元的借款利息，该证据合法有效，上诉人认为证据无效，没有事实依据。请求驳回上诉人的上诉请求。二审法院认为，双方当事人对于30000元借款的事实均无争议。本案争议的焦点有二：一是双方是否约定了借款利息?二是双方约定的利息数额是否合法。关于第一个争议焦点，王华主张双方约定了4500元利息，应由其承担举证责任。王华在原审期间提供了与张选谈话的录音，同时提供了与其一同前往张选家中，谈话时在场的李仁亮、胡大德的证人证言，均证实王华与张选确实商定了4500元借款利息的虽然该录音资料的形成未经张选同意，但张选在原审、二审期间均未否认该录音资料内容的真实性。而且张选对证人证言未提出异议。因此，该录音资料以及证人证言的内容真实，与争议焦点有关联，可以认定双方已经达成了由张选支付4500元借款利息的意思表示。关于第二个争议焦点，按照《最高人民法院关于人民法院审理借贷案件的若干意见》第六条规定：民间借贷的利率可以适当高于银行的利率，各地人民法院可根据本地区的实际情况具体掌握，但最高不得超过银行同类贷款利率的四倍(包含利率本数)。超出此限度的，超出部分的利息不予保护。王华与张选之间确定的4500元借款利息未超过此限度，应当予以保护。因此，二审法院认为，原判决认定事实清楚，适用法律正确，判决并无不当，张选上诉的理由不成立。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本案由审判员廖明、张强、代理审判员程士林组成合议庭，廖明担任审判长，夏莉莉担任书记员。公开开庭审理了本案。第二审法院依据《中华人民共和国民事诉讼法》第一百五十三条的规定，作出驳回上诉，维持原判的判决。本案一、二审诉讼费用共计900元，由张选负担。本判决为终审判决。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附：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1.《中华人民共和国合同法》第十条规定：当事人订立合同，有书面形式、口头形式和其他形式。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法律、行政法规规定采用书面形式的，应当采用书面形式。当事人约定采用书面形式的，应当采用书面形式。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2.《中华人民共和国民事诉讼法》第一百五十三条规定：第二审人民法院对上诉案件，经过审理，按照下列情形，分别处理：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(一)原判决认定事实清楚，适用法律正确的，判决驳回上诉，维持原判决；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(二)原判决适用法律错误的，依法改判；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(三)原判决认定事实错误，或者原判决认定事实不清，证据不足，裁定撤销原判决，发回原审人民法院重审，或者查清事实后改判；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(四)原判决违反法定程序，可能影响案件正确判决的，裁定撤销原判决，发回原审人民法院重审。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当事人对重审案件的判决、裁定，可以上诉。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</w:p>
    <w:p>
      <w:pPr>
        <w:numPr>
          <w:ilvl w:val="0"/>
          <w:numId w:val="4"/>
        </w:numPr>
        <w:tabs>
          <w:tab w:val="left" w:pos="3828"/>
          <w:tab w:val="left" w:pos="4111"/>
        </w:tabs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写作辅题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26</w:t>
      </w:r>
      <w:r>
        <w:rPr>
          <w:rFonts w:hint="eastAsia" w:ascii="宋体" w:hAnsi="宋体"/>
          <w:szCs w:val="21"/>
        </w:rPr>
        <w:t>.根据下列案情材料，按照《法律文书写作》教材中的要求，拟写辩护词中辩护理由提纲。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万松，男，汉族，1989年7月2日出生，系××省××市××中学高二学生，住××省××市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××街×号。万松与被害人陈平(女，汉族，43岁)系邻居，同住一个四合院内，两家平时常因生活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琐事发生纠纷。2007年5月4日早上，万松在院里朗读英文，陈平下夜班回来正在熟睡，被吵醒后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很不高兴，便冲到院中大声斥责万松。万松不服与其发生争执，陈平非常生气，上前一把夺走万松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手中的英文课本转身回屋。为赶时间上学，万松只好忍气吞声先到学校去上课。当天下午7时许，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万松放学后欲向陈平要回自己的英文课本，便来到陈平家。万松敲门入室，见陈平正在削苹果，便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向陈平索要课本。陈平余怒未消，起身边骂边推万松出门，此间两人发生拉扯，在拉扯的过程中，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陈平手中的水果刀将万松的左手背划伤，万松见状便夺刀，水果刀划伤了陈平的颈部，陈平双手捂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住伤口，刀掉在地上，万松捡起水果刀朝倒地的陈平颈部、胸部、腹部等处连续猛刺数刀后逃离现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场。陈平因失血过多当场死亡。案件发生后，万松在父亲的陪同下到公安机关投案自首。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万松对犯罪事实供认不讳，对自己的行为所造成的后果追悔莫及。学校同学对此也深感震惊，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认为万松性格内向，不善言语，平时表现较好，此案发生纯属意外。校方亦证明此前万松未有任何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违法违纪行为。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认定案件事实的证据有：法医鉴定、证人证言、现场勘查笔录、搜查笔录、刑事科学技术鉴定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书、法医活体检验鉴定书、精神科学技术鉴定书、杀人凶器、现场照片及其他相关书证。</w:t>
      </w:r>
    </w:p>
    <w:p>
      <w:pPr>
        <w:tabs>
          <w:tab w:val="left" w:pos="3828"/>
          <w:tab w:val="left" w:pos="4111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公诉机关认为，被告人万松因生活琐事与他人发生争执而故意杀人，手段残忍，情节恶劣，后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果特别严重，已涉嫌故意杀人，应依法追究其刑事责任。</w:t>
      </w: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附：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1.</w:t>
      </w:r>
      <w:r>
        <w:rPr>
          <w:rFonts w:hint="eastAsia" w:ascii="宋体" w:hAnsi="宋体"/>
          <w:szCs w:val="21"/>
        </w:rPr>
        <w:t>《中华人民共和国刑法》第二百三十二条规定：故意杀人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的，处死刑、无期徒刑或者十年以上有期徒刑；情节较轻的，处三年以上十年以下有期徒刑。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2.</w:t>
      </w:r>
      <w:r>
        <w:rPr>
          <w:rFonts w:hint="eastAsia" w:ascii="宋体" w:hAnsi="宋体"/>
          <w:szCs w:val="21"/>
        </w:rPr>
        <w:t>《中华人民共和国刑法》第十七条第三款规定：已满十四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周岁不满十八周岁的人犯罪，应当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从轻或者减轻处罚。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3.</w:t>
      </w:r>
      <w:r>
        <w:rPr>
          <w:rFonts w:hint="eastAsia" w:ascii="宋体" w:hAnsi="宋体"/>
          <w:szCs w:val="21"/>
        </w:rPr>
        <w:t>《中华人民共和国刑法》第四十九条规定：犯罪的时候不满十八岁的人和审判的时候怀孕的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妇女，不适用死刑。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4.</w:t>
      </w:r>
      <w:r>
        <w:rPr>
          <w:rFonts w:hint="eastAsia" w:ascii="宋体" w:hAnsi="宋体"/>
          <w:szCs w:val="21"/>
        </w:rPr>
        <w:t>《中华人民共和国刑法》第六十七条第一款规定：犯罪以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后自动投案，如实陈述自己的罪行的，是自首。对于自首的犯罪分子，可以从轻或者减轻处罚。其</w:t>
      </w:r>
    </w:p>
    <w:p>
      <w:pPr>
        <w:numPr>
          <w:ilvl w:val="0"/>
          <w:numId w:val="0"/>
        </w:num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中，犯罪较轻的，可以免除处罚。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tabs>
          <w:tab w:val="left" w:pos="3828"/>
          <w:tab w:val="left" w:pos="4111"/>
        </w:tabs>
        <w:rPr>
          <w:rFonts w:hint="eastAsia" w:ascii="宋体" w:hAnsi="宋体"/>
          <w:szCs w:val="21"/>
        </w:rPr>
      </w:pPr>
    </w:p>
    <w:p/>
    <w:p/>
    <w:p/>
    <w:p/>
    <w:p/>
    <w:p/>
    <w:p/>
    <w:p/>
    <w:p/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司法文书写作复习资料</w:t>
      </w:r>
    </w:p>
    <w:p>
      <w:pPr>
        <w:numPr>
          <w:ilvl w:val="0"/>
          <w:numId w:val="5"/>
        </w:num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单项选择题</w:t>
      </w:r>
    </w:p>
    <w:p>
      <w:pPr>
        <w:numPr>
          <w:ilvl w:val="0"/>
          <w:numId w:val="6"/>
        </w:num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B    2、   3、C    4、A    5、B    6、C    7、A    8、D    9、B    10、D   11、A  12    13、   14、D    15、  </w:t>
      </w:r>
    </w:p>
    <w:p>
      <w:pPr>
        <w:numPr>
          <w:ilvl w:val="0"/>
          <w:numId w:val="7"/>
        </w:num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简答题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16、</w:t>
      </w:r>
      <w:r>
        <w:rPr>
          <w:rFonts w:hint="eastAsia"/>
        </w:rPr>
        <w:t>答：</w:t>
      </w:r>
      <w:r>
        <w:rPr>
          <w:rFonts w:hint="eastAsia" w:ascii="宋体" w:hAnsi="宋体"/>
          <w:szCs w:val="21"/>
        </w:rPr>
        <w:t>第一审刑事判决书的案号由立案年度、法院简称、案件性质、审判程序和案件顺序号组成。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17、</w:t>
      </w:r>
      <w:r>
        <w:rPr>
          <w:rFonts w:hint="eastAsia"/>
        </w:rPr>
        <w:t>答：</w:t>
      </w:r>
      <w:r>
        <w:rPr>
          <w:rFonts w:hint="eastAsia" w:ascii="宋体" w:hAnsi="宋体"/>
          <w:szCs w:val="21"/>
        </w:rPr>
        <w:t>公安机关立案决定书，是公安机关对报案、举报、控告、自首材料进行审查后，认为符合立案条件，制作呈请立案报告书，经报请县级以上公安机关负责人批准后，制作的立案决定文书。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18、</w:t>
      </w:r>
      <w:r>
        <w:rPr>
          <w:rFonts w:hint="eastAsia"/>
        </w:rPr>
        <w:t>答：</w:t>
      </w:r>
      <w:r>
        <w:rPr>
          <w:rFonts w:hint="eastAsia" w:ascii="宋体" w:hAnsi="宋体"/>
          <w:szCs w:val="21"/>
        </w:rPr>
        <w:t>监狱起诉意见书与公安机关起诉意见书的主要区别是：（1）文书制作的法律依据不同；（2）文书适用的范围不同；（3）要求起诉的对象不同；（4）制作主体不同，署名不同。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19、</w:t>
      </w:r>
    </w:p>
    <w:p>
      <w:pPr>
        <w:numPr>
          <w:ilvl w:val="0"/>
          <w:numId w:val="8"/>
        </w:num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/>
        </w:rPr>
        <w:t>答：</w:t>
      </w:r>
      <w:r>
        <w:rPr>
          <w:rFonts w:hint="eastAsia" w:ascii="宋体" w:hAnsi="宋体"/>
          <w:szCs w:val="21"/>
        </w:rPr>
        <w:t>仲裁裁决书的正文部分应当写明以下内容：（1）先概述当事人双方分别提供的事实、理由和请求的具体内容；（2）写清仲裁机构（关）查明的事实证据；（3）阐明仲裁机关裁决的理由和法律根据；（4）写明仲裁决定的内容；（5）仲裁费用的负担。</w:t>
      </w:r>
    </w:p>
    <w:p>
      <w:pPr>
        <w:numPr>
          <w:ilvl w:val="0"/>
          <w:numId w:val="8"/>
        </w:num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司法文书的概念、特点是什么？有何分类？   答：司法文书是指公安机关、检察院、法院、司法行政机关以及诉讼当事人，依法制作的具有法律效力或法律意义的法律文书。  司法文书的特点有：（1）制作的合法性；（2）形式的规范性；（3）表述的准确性；（4）实施的有效性。  司法文书有的分类包括公安机关的侦查文书、检察机关的检察文书、法院的裁判文书、司法行政机关的执法文书以及这些机关所制作发布的各种公告、命令、公证机关的各种公证文书、诉讼当事人依法向司法机关递交的各种诉状等。   </w:t>
      </w:r>
    </w:p>
    <w:p>
      <w:pPr>
        <w:numPr>
          <w:ilvl w:val="0"/>
          <w:numId w:val="8"/>
        </w:num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司法文书的语言运用有何要求？     答：(1)表义精确，解释单一；(2)文风朴实，格调庄重；(3)文字精练，言简意赅；(4)语言规范，语句规整；(5)褒贬恰切，爱憎分明；(6)语言诸忌，力求避免。          </w:t>
      </w:r>
    </w:p>
    <w:p>
      <w:pPr>
        <w:numPr>
          <w:ilvl w:val="0"/>
          <w:numId w:val="8"/>
        </w:num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抗诉书的概念、内容与制作要求是什么？    答：抗诉书是人民检察院行使审判监督职权。认为人民法院所作出的判决或裁决确有错误，要求人民法院重新审理予以纠正而提出抗诉时，制作的法律文书。按照诉讼种类的不同，可分为刑事诉讼中的抗诉书、民事诉讼中的抗诉书和行政诉讼中的抗诉书。其内容和制作要求包括首部、正文、尾部三部分。首部包括名称、编号、致送机关、案名和审判情况；正文是主体部分，包括原审判决、裁定情况、审查意见、抗诉理由、抗诉意见和法律根据、抗诉要求；尾部包括抗诉机关、抄送机关、具文时间并加盖印章。     </w:t>
      </w:r>
    </w:p>
    <w:p>
      <w:pPr>
        <w:numPr>
          <w:ilvl w:val="0"/>
          <w:numId w:val="8"/>
        </w:num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刑事案件的辩护词和民事案件的代理词有何异同？两者的内容与制作要求各是什么？   答：刑事诉讼中的辩护词是指可以作为辩护人的人（律师、被告人的亲人、法院认可的公民等），对被告人应承担的刑事责任发表的有利于被告人的意见，即提出对被告人减轻、从轻处罚，或无罪的辩护意见。代理词是指民事诉讼的原告或被告委托的人（即代理人），对被告人做出的侵害行为或者违约行为，发表的被告人应当承担多少赔偿责任的意见。  辩护词一般情况下有前言、辩护理由、结束语三个部分，其中辩护理由是核心部分。代理意见（词）与辩护词一样因案而异，也可分为前言、代理理由、结束语三个部分，重点是代理理由部门，要从事实、法律、程序三个方面发表意见，维护被代理人的合法权益，协助法院弄清案情，正确适用法律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三、写作主题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25</w:t>
      </w:r>
      <w:r>
        <w:rPr>
          <w:rFonts w:hint="eastAsia"/>
        </w:rPr>
        <w:t>答：</w:t>
      </w:r>
      <w:bookmarkStart w:id="0" w:name="_GoBack"/>
      <w:bookmarkEnd w:id="0"/>
      <w:r>
        <w:rPr>
          <w:rFonts w:hint="eastAsia" w:ascii="宋体" w:hAnsi="宋体"/>
          <w:szCs w:val="21"/>
        </w:rPr>
        <w:t>（一）首部 1、标题。应当分两行居中书写：“XX省XX市中级人民法院”、“民事判决书”。2、编号。应写明：（200X）X民终字第X号。编号中写出年度、案件性质、审判程序和案号的可得分。3、当事人的基本情况。上诉人（原审被告）：张选，男，36岁，汉族，XX县XX镇人，住XX县XX镇XX街XX号。被上诉人（原审原告）：王华，男，39岁，汉族，XX县XX镇人，住XX县XX镇XX街XX号。4、案由、审判组织、审判方式和开庭审理过程。上诉人张选因借款纠纷一案不服XX省XX市XX县人民法院（2007）X民初字第X号民事判决，向本院提起上诉。本院依法组成合议庭公开开庭审理了本案。上诉人张选和被上诉人王华均到庭参加诉讼。本案现已审理终结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二）正文。1、事实。（1）写明原审认定的当事人之间争议的主要事实和判决结果；（2）上诉人提起上诉的请求和上诉理由，被上诉人的答辩意见；（3）二审法院审查认定的事实和证据。2、理由。（1）应当根据判决认定的事实、证据，针对当事人双方争议的事实和理由，依照法律规定，阐明法院对纠纷的性质、当事人的责任以及解决争议的看法，阐明维持原判的理由。（2）判决适用的法律。引用我国《民事诉讼法》第一百五十三条第一款第（一）项的规定，作为判决的依据。3、判决结果  写明：驳回上诉，维持原判。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（三）尾部  1、应当写明诉讼费用的负担，本案一、二审诉讼费用共计900无，由张选负担。2、判决书的效力。应在诉讼费用下行写明：本判决为终审判决。3、合议庭组成人员署名，注明年月日并加盖人民法院印章。4、加盖“本件与原本核对无异”印戳，并由书记员署名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四、写作辅题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 w:ascii="宋体" w:hAnsi="宋体"/>
          <w:szCs w:val="21"/>
        </w:rPr>
        <w:t xml:space="preserve">    </w:t>
      </w:r>
      <w:r>
        <w:rPr>
          <w:rFonts w:hint="eastAsia" w:ascii="宋体" w:hAnsi="宋体"/>
          <w:szCs w:val="21"/>
          <w:lang w:val="en-US" w:eastAsia="zh-CN"/>
        </w:rPr>
        <w:t>26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5710B"/>
    <w:multiLevelType w:val="singleLevel"/>
    <w:tmpl w:val="89E5710B"/>
    <w:lvl w:ilvl="0" w:tentative="0">
      <w:start w:val="20"/>
      <w:numFmt w:val="decimal"/>
      <w:suff w:val="nothing"/>
      <w:lvlText w:val="%1．"/>
      <w:lvlJc w:val="left"/>
    </w:lvl>
  </w:abstractNum>
  <w:abstractNum w:abstractNumId="1">
    <w:nsid w:val="92EA3F7A"/>
    <w:multiLevelType w:val="singleLevel"/>
    <w:tmpl w:val="92EA3F7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AAD48E2"/>
    <w:multiLevelType w:val="singleLevel"/>
    <w:tmpl w:val="EAAD48E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000000A"/>
    <w:multiLevelType w:val="singleLevel"/>
    <w:tmpl w:val="0000000A"/>
    <w:lvl w:ilvl="0" w:tentative="0">
      <w:start w:val="1"/>
      <w:numFmt w:val="chineseCounting"/>
      <w:suff w:val="nothing"/>
      <w:lvlText w:val="%1、"/>
      <w:lvlJc w:val="left"/>
    </w:lvl>
  </w:abstractNum>
  <w:abstractNum w:abstractNumId="4">
    <w:nsid w:val="0000000B"/>
    <w:multiLevelType w:val="singleLevel"/>
    <w:tmpl w:val="0000000B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0000000C"/>
    <w:multiLevelType w:val="singleLevel"/>
    <w:tmpl w:val="0000000C"/>
    <w:lvl w:ilvl="0" w:tentative="0">
      <w:start w:val="2"/>
      <w:numFmt w:val="chineseCounting"/>
      <w:suff w:val="nothing"/>
      <w:lvlText w:val="%1、"/>
      <w:lvlJc w:val="left"/>
    </w:lvl>
  </w:abstractNum>
  <w:abstractNum w:abstractNumId="6">
    <w:nsid w:val="171CE25F"/>
    <w:multiLevelType w:val="singleLevel"/>
    <w:tmpl w:val="171CE25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3AA172D6"/>
    <w:multiLevelType w:val="singleLevel"/>
    <w:tmpl w:val="3AA172D6"/>
    <w:lvl w:ilvl="0" w:tentative="0">
      <w:start w:val="20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3EF"/>
    <w:rsid w:val="00890852"/>
    <w:rsid w:val="00DC33EF"/>
    <w:rsid w:val="173A667F"/>
    <w:rsid w:val="1E060500"/>
    <w:rsid w:val="30347D29"/>
    <w:rsid w:val="328D3D75"/>
    <w:rsid w:val="33DE4B5A"/>
    <w:rsid w:val="55123945"/>
    <w:rsid w:val="69105E0D"/>
    <w:rsid w:val="6F391774"/>
    <w:rsid w:val="76F1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2020-01-10T07:40:00Z</dcterms:created>
  <dc:creator>Administrator</dc:creator>
  <cp:lastModifiedBy>Administrator</cp:lastModifiedBy>
  <dcterms:modified xsi:type="dcterms:W3CDTF">2020-02-19T05:48:00Z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