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7ABF9">
      <w:pPr>
        <w:pStyle w:val="4"/>
        <w:keepNext w:val="0"/>
        <w:keepLines w:val="0"/>
        <w:widowControl/>
        <w:suppressLineNumbers w:val="0"/>
        <w:spacing w:before="0" w:beforeAutospacing="0" w:after="0" w:afterAutospacing="0"/>
        <w:ind w:left="0" w:right="0" w:firstLine="0"/>
        <w:jc w:val="center"/>
        <w:rPr>
          <w:sz w:val="28"/>
          <w:szCs w:val="28"/>
        </w:rPr>
      </w:pPr>
      <w:bookmarkStart w:id="0" w:name="_Hlk68201612"/>
      <w:r>
        <w:rPr>
          <w:sz w:val="28"/>
          <w:szCs w:val="28"/>
        </w:rPr>
        <w:t>国际市场营销复习资料</w:t>
      </w:r>
    </w:p>
    <w:p w14:paraId="176646C5">
      <w:pPr>
        <w:jc w:val="center"/>
        <w:rPr>
          <w:rFonts w:ascii="宋体" w:hAnsi="宋体"/>
          <w:sz w:val="24"/>
        </w:rPr>
      </w:pPr>
      <w:r>
        <w:rPr>
          <w:rFonts w:hint="eastAsia" w:ascii="宋体" w:hAnsi="宋体"/>
          <w:sz w:val="24"/>
        </w:rPr>
        <w:t>---------------------------------------------------------------------</w:t>
      </w:r>
    </w:p>
    <w:p w14:paraId="49AF14D9">
      <w:pPr>
        <w:spacing w:line="360" w:lineRule="auto"/>
        <w:rPr>
          <w:rFonts w:ascii="黑体" w:hAnsi="黑体" w:eastAsia="黑体"/>
          <w:b/>
          <w:sz w:val="24"/>
          <w:highlight w:val="none"/>
        </w:rPr>
      </w:pPr>
      <w:r>
        <w:rPr>
          <w:rFonts w:hint="eastAsia" w:ascii="黑体" w:hAnsi="黑体" w:eastAsia="黑体"/>
          <w:b/>
          <w:sz w:val="24"/>
        </w:rPr>
        <w:t>一</w:t>
      </w:r>
      <w:bookmarkStart w:id="26" w:name="_GoBack"/>
      <w:r>
        <w:rPr>
          <w:rFonts w:hint="eastAsia" w:ascii="黑体" w:hAnsi="黑体" w:eastAsia="黑体"/>
          <w:b/>
          <w:sz w:val="24"/>
          <w:highlight w:val="none"/>
        </w:rPr>
        <w:t>、名词解释</w:t>
      </w:r>
    </w:p>
    <w:p w14:paraId="3E746524">
      <w:pPr>
        <w:spacing w:line="360" w:lineRule="auto"/>
        <w:rPr>
          <w:rFonts w:ascii="黑体" w:hAnsi="黑体" w:eastAsia="黑体"/>
          <w:b/>
          <w:sz w:val="24"/>
          <w:highlight w:val="none"/>
        </w:rPr>
      </w:pPr>
      <w:bookmarkStart w:id="1" w:name="_Hlk68339314"/>
      <w:r>
        <w:rPr>
          <w:rFonts w:ascii="宋体" w:hAnsi="宋体"/>
          <w:szCs w:val="21"/>
          <w:highlight w:val="none"/>
        </w:rPr>
        <w:t>1、</w:t>
      </w:r>
      <w:r>
        <w:rPr>
          <w:rFonts w:hint="eastAsia" w:ascii="宋体" w:hAnsi="宋体"/>
          <w:szCs w:val="21"/>
          <w:highlight w:val="none"/>
        </w:rPr>
        <w:t>出口营销</w:t>
      </w:r>
    </w:p>
    <w:p w14:paraId="75C880C5">
      <w:pPr>
        <w:spacing w:line="360" w:lineRule="auto"/>
        <w:rPr>
          <w:rFonts w:ascii="宋体" w:hAnsi="宋体"/>
          <w:szCs w:val="21"/>
          <w:highlight w:val="none"/>
        </w:rPr>
      </w:pPr>
    </w:p>
    <w:p w14:paraId="1B1F911E">
      <w:pPr>
        <w:spacing w:line="360" w:lineRule="auto"/>
        <w:rPr>
          <w:rFonts w:ascii="宋体" w:hAnsi="宋体"/>
          <w:szCs w:val="21"/>
          <w:highlight w:val="none"/>
        </w:rPr>
      </w:pPr>
    </w:p>
    <w:p w14:paraId="476189AE">
      <w:pPr>
        <w:spacing w:line="360" w:lineRule="auto"/>
        <w:rPr>
          <w:rFonts w:ascii="宋体" w:hAnsi="宋体"/>
          <w:color w:val="FF0000"/>
          <w:szCs w:val="21"/>
          <w:highlight w:val="none"/>
        </w:rPr>
      </w:pPr>
      <w:r>
        <w:rPr>
          <w:rFonts w:ascii="宋体" w:hAnsi="宋体"/>
          <w:szCs w:val="21"/>
          <w:highlight w:val="none"/>
        </w:rPr>
        <w:t>2、</w:t>
      </w:r>
      <w:bookmarkStart w:id="2" w:name="_Hlk70014781"/>
      <w:r>
        <w:rPr>
          <w:rFonts w:hint="eastAsia" w:ascii="宋体" w:hAnsi="宋体"/>
          <w:szCs w:val="21"/>
          <w:highlight w:val="none"/>
        </w:rPr>
        <w:t>反倾销</w:t>
      </w:r>
    </w:p>
    <w:bookmarkEnd w:id="2"/>
    <w:p w14:paraId="03EBADA2">
      <w:pPr>
        <w:spacing w:line="360" w:lineRule="auto"/>
        <w:rPr>
          <w:rFonts w:ascii="宋体" w:hAnsi="宋体"/>
          <w:szCs w:val="21"/>
          <w:highlight w:val="none"/>
        </w:rPr>
      </w:pPr>
    </w:p>
    <w:p w14:paraId="53E0A9D6">
      <w:pPr>
        <w:spacing w:line="360" w:lineRule="auto"/>
        <w:rPr>
          <w:rFonts w:hint="eastAsia" w:ascii="宋体" w:hAnsi="宋体"/>
          <w:szCs w:val="21"/>
          <w:highlight w:val="none"/>
        </w:rPr>
      </w:pPr>
    </w:p>
    <w:p w14:paraId="5974DC52">
      <w:pPr>
        <w:spacing w:line="360" w:lineRule="auto"/>
        <w:rPr>
          <w:rFonts w:ascii="宋体" w:hAnsi="宋体"/>
          <w:szCs w:val="21"/>
          <w:highlight w:val="none"/>
        </w:rPr>
      </w:pPr>
      <w:bookmarkStart w:id="3" w:name="_Hlk68339198"/>
      <w:r>
        <w:rPr>
          <w:rFonts w:ascii="宋体" w:hAnsi="宋体"/>
          <w:szCs w:val="21"/>
          <w:highlight w:val="none"/>
        </w:rPr>
        <w:t>3</w:t>
      </w:r>
      <w:r>
        <w:rPr>
          <w:rFonts w:hint="eastAsia" w:ascii="宋体" w:hAnsi="宋体"/>
          <w:szCs w:val="21"/>
          <w:highlight w:val="none"/>
        </w:rPr>
        <w:t>、</w:t>
      </w:r>
      <w:bookmarkStart w:id="4" w:name="_Hlk69718337"/>
      <w:r>
        <w:rPr>
          <w:rFonts w:hint="eastAsia" w:ascii="宋体" w:hAnsi="宋体"/>
          <w:szCs w:val="21"/>
          <w:highlight w:val="none"/>
        </w:rPr>
        <w:t>国际市场分销系统</w:t>
      </w:r>
    </w:p>
    <w:bookmarkEnd w:id="3"/>
    <w:bookmarkEnd w:id="4"/>
    <w:p w14:paraId="5599E5AD">
      <w:pPr>
        <w:spacing w:line="360" w:lineRule="auto"/>
        <w:rPr>
          <w:rFonts w:ascii="宋体" w:hAnsi="宋体"/>
          <w:szCs w:val="21"/>
          <w:highlight w:val="none"/>
        </w:rPr>
      </w:pPr>
    </w:p>
    <w:p w14:paraId="0C0D07E0">
      <w:pPr>
        <w:spacing w:line="360" w:lineRule="auto"/>
        <w:rPr>
          <w:rFonts w:hint="eastAsia" w:ascii="宋体" w:hAnsi="宋体"/>
          <w:szCs w:val="21"/>
          <w:highlight w:val="none"/>
        </w:rPr>
      </w:pPr>
    </w:p>
    <w:p w14:paraId="6AF3D0AC">
      <w:pPr>
        <w:spacing w:line="360" w:lineRule="auto"/>
        <w:rPr>
          <w:rFonts w:hint="eastAsia" w:ascii="宋体" w:hAnsi="宋体"/>
          <w:szCs w:val="21"/>
          <w:highlight w:val="none"/>
        </w:rPr>
      </w:pPr>
      <w:r>
        <w:rPr>
          <w:rFonts w:ascii="宋体" w:hAnsi="宋体"/>
          <w:szCs w:val="21"/>
          <w:highlight w:val="none"/>
        </w:rPr>
        <w:t>4</w:t>
      </w:r>
      <w:r>
        <w:rPr>
          <w:rFonts w:hint="eastAsia" w:ascii="宋体" w:hAnsi="宋体"/>
          <w:szCs w:val="21"/>
          <w:highlight w:val="none"/>
        </w:rPr>
        <w:t>、</w:t>
      </w:r>
      <w:bookmarkStart w:id="5" w:name="_Hlk68381189"/>
      <w:r>
        <w:rPr>
          <w:rFonts w:hint="eastAsia" w:ascii="宋体" w:hAnsi="宋体"/>
          <w:szCs w:val="21"/>
          <w:highlight w:val="none"/>
        </w:rPr>
        <w:t>转移价格</w:t>
      </w:r>
    </w:p>
    <w:p w14:paraId="26994E72">
      <w:pPr>
        <w:spacing w:line="360" w:lineRule="auto"/>
        <w:rPr>
          <w:rFonts w:ascii="宋体" w:hAnsi="宋体"/>
          <w:szCs w:val="21"/>
          <w:highlight w:val="none"/>
        </w:rPr>
      </w:pPr>
    </w:p>
    <w:p w14:paraId="62633DE9">
      <w:pPr>
        <w:spacing w:line="360" w:lineRule="auto"/>
        <w:rPr>
          <w:rFonts w:hint="eastAsia" w:ascii="宋体" w:hAnsi="宋体"/>
          <w:szCs w:val="21"/>
          <w:highlight w:val="none"/>
        </w:rPr>
      </w:pPr>
    </w:p>
    <w:p w14:paraId="144AECF6">
      <w:pPr>
        <w:spacing w:line="360" w:lineRule="auto"/>
        <w:rPr>
          <w:rFonts w:hint="eastAsia" w:ascii="宋体" w:hAnsi="宋体"/>
          <w:szCs w:val="21"/>
          <w:highlight w:val="none"/>
        </w:rPr>
      </w:pPr>
      <w:r>
        <w:rPr>
          <w:rFonts w:ascii="宋体" w:hAnsi="宋体"/>
          <w:szCs w:val="21"/>
          <w:highlight w:val="none"/>
        </w:rPr>
        <w:t>5</w:t>
      </w:r>
      <w:r>
        <w:rPr>
          <w:rFonts w:hint="eastAsia" w:ascii="宋体" w:hAnsi="宋体"/>
          <w:szCs w:val="21"/>
          <w:highlight w:val="none"/>
        </w:rPr>
        <w:t>、国际市场营销信息系统</w:t>
      </w:r>
    </w:p>
    <w:bookmarkEnd w:id="5"/>
    <w:p w14:paraId="2D94AA00">
      <w:pPr>
        <w:spacing w:line="360" w:lineRule="auto"/>
        <w:rPr>
          <w:rFonts w:ascii="宋体" w:hAnsi="宋体"/>
          <w:szCs w:val="21"/>
          <w:highlight w:val="none"/>
        </w:rPr>
      </w:pPr>
    </w:p>
    <w:p w14:paraId="3B4A8D9A">
      <w:pPr>
        <w:spacing w:line="360" w:lineRule="auto"/>
        <w:rPr>
          <w:rFonts w:hint="eastAsia" w:ascii="宋体" w:hAnsi="宋体"/>
          <w:szCs w:val="21"/>
          <w:highlight w:val="none"/>
        </w:rPr>
      </w:pPr>
    </w:p>
    <w:p w14:paraId="3627315A">
      <w:pPr>
        <w:spacing w:line="360" w:lineRule="auto"/>
        <w:rPr>
          <w:rFonts w:hint="eastAsia" w:ascii="宋体" w:hAnsi="宋体"/>
          <w:szCs w:val="21"/>
          <w:highlight w:val="none"/>
        </w:rPr>
      </w:pPr>
      <w:r>
        <w:rPr>
          <w:rFonts w:ascii="宋体" w:hAnsi="宋体"/>
          <w:szCs w:val="21"/>
          <w:highlight w:val="none"/>
        </w:rPr>
        <w:t>6</w:t>
      </w:r>
      <w:r>
        <w:rPr>
          <w:rFonts w:hint="eastAsia" w:ascii="宋体" w:hAnsi="宋体"/>
          <w:szCs w:val="21"/>
          <w:highlight w:val="none"/>
        </w:rPr>
        <w:t>、国际市场直复营销</w:t>
      </w:r>
    </w:p>
    <w:p w14:paraId="1ACF8A89">
      <w:pPr>
        <w:spacing w:line="360" w:lineRule="auto"/>
        <w:rPr>
          <w:rFonts w:ascii="宋体" w:hAnsi="宋体"/>
          <w:szCs w:val="21"/>
          <w:highlight w:val="none"/>
        </w:rPr>
      </w:pPr>
    </w:p>
    <w:bookmarkEnd w:id="1"/>
    <w:p w14:paraId="21B5D6F0">
      <w:pPr>
        <w:spacing w:line="360" w:lineRule="auto"/>
        <w:rPr>
          <w:rFonts w:ascii="Calibri" w:hAnsi="Calibri"/>
          <w:sz w:val="22"/>
          <w:highlight w:val="none"/>
        </w:rPr>
      </w:pPr>
    </w:p>
    <w:p w14:paraId="4C17EAA9">
      <w:pPr>
        <w:spacing w:line="360" w:lineRule="auto"/>
        <w:rPr>
          <w:rFonts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属地化定位</w:t>
      </w:r>
    </w:p>
    <w:p w14:paraId="115D16A5">
      <w:pPr>
        <w:spacing w:line="360" w:lineRule="auto"/>
        <w:rPr>
          <w:rFonts w:ascii="Calibri" w:hAnsi="Calibri"/>
          <w:sz w:val="22"/>
          <w:highlight w:val="none"/>
        </w:rPr>
      </w:pPr>
    </w:p>
    <w:p w14:paraId="156784BF">
      <w:pPr>
        <w:spacing w:line="360" w:lineRule="auto"/>
        <w:rPr>
          <w:rFonts w:ascii="Calibri" w:hAnsi="Calibri"/>
          <w:sz w:val="22"/>
          <w:highlight w:val="none"/>
        </w:rPr>
      </w:pPr>
    </w:p>
    <w:p w14:paraId="05357ACF">
      <w:pPr>
        <w:spacing w:line="360" w:lineRule="auto"/>
        <w:rPr>
          <w:rFonts w:ascii="Calibri" w:hAnsi="Calibri"/>
          <w:sz w:val="22"/>
          <w:highlight w:val="none"/>
        </w:rPr>
      </w:pPr>
      <w:r>
        <w:rPr>
          <w:rFonts w:hint="eastAsia" w:ascii="宋体" w:hAnsi="宋体"/>
          <w:szCs w:val="21"/>
          <w:highlight w:val="none"/>
          <w:lang w:val="en-US" w:eastAsia="zh-CN"/>
        </w:rPr>
        <w:t>8、</w:t>
      </w:r>
      <w:r>
        <w:rPr>
          <w:rFonts w:hint="eastAsia" w:ascii="宋体" w:hAnsi="宋体"/>
          <w:szCs w:val="21"/>
          <w:highlight w:val="none"/>
        </w:rPr>
        <w:t>全球市场微观细分</w:t>
      </w:r>
    </w:p>
    <w:p w14:paraId="67668E41">
      <w:pPr>
        <w:spacing w:line="360" w:lineRule="auto"/>
        <w:rPr>
          <w:rFonts w:hint="eastAsia" w:ascii="Calibri" w:hAnsi="Calibri"/>
          <w:sz w:val="22"/>
          <w:highlight w:val="none"/>
        </w:rPr>
      </w:pPr>
    </w:p>
    <w:p w14:paraId="0BB9F542">
      <w:pPr>
        <w:spacing w:line="360" w:lineRule="auto"/>
        <w:rPr>
          <w:rFonts w:hint="eastAsia" w:ascii="Calibri" w:hAnsi="Calibri"/>
          <w:sz w:val="22"/>
          <w:highlight w:val="none"/>
        </w:rPr>
      </w:pPr>
    </w:p>
    <w:p w14:paraId="2C3425CF">
      <w:pPr>
        <w:spacing w:line="360" w:lineRule="auto"/>
        <w:rPr>
          <w:rFonts w:ascii="黑体" w:hAnsi="黑体" w:eastAsia="黑体"/>
          <w:b/>
          <w:sz w:val="24"/>
          <w:highlight w:val="none"/>
        </w:rPr>
      </w:pPr>
      <w:r>
        <w:rPr>
          <w:rFonts w:hint="eastAsia" w:ascii="黑体" w:hAnsi="黑体" w:eastAsia="黑体"/>
          <w:b/>
          <w:sz w:val="24"/>
          <w:highlight w:val="none"/>
        </w:rPr>
        <w:t>二、填空题</w:t>
      </w:r>
      <w:bookmarkStart w:id="6" w:name="_Hlk68374476"/>
    </w:p>
    <w:bookmarkEnd w:id="6"/>
    <w:p w14:paraId="25D83BEA">
      <w:pPr>
        <w:spacing w:line="360" w:lineRule="auto"/>
        <w:rPr>
          <w:rFonts w:ascii="宋体" w:hAnsi="宋体"/>
          <w:szCs w:val="21"/>
          <w:highlight w:val="none"/>
        </w:rPr>
      </w:pPr>
      <w:bookmarkStart w:id="7" w:name="_Hlk68168090"/>
      <w:r>
        <w:rPr>
          <w:rFonts w:ascii="宋体" w:hAnsi="宋体"/>
          <w:szCs w:val="21"/>
          <w:highlight w:val="none"/>
        </w:rPr>
        <w:t>1、</w:t>
      </w:r>
      <w:r>
        <w:rPr>
          <w:rFonts w:hint="eastAsia" w:ascii="宋体" w:hAnsi="宋体"/>
          <w:szCs w:val="21"/>
          <w:highlight w:val="none"/>
        </w:rPr>
        <w:t>国际市场营销调研的内容主要有</w:t>
      </w:r>
      <w:bookmarkStart w:id="8" w:name="_Hlk69674782"/>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bookmarkStart w:id="9" w:name="_Hlk68166876"/>
      <w:bookmarkStart w:id="10" w:name="_Hlk68166343"/>
    </w:p>
    <w:bookmarkEnd w:id="8"/>
    <w:p w14:paraId="248C0D8A">
      <w:pPr>
        <w:spacing w:line="360" w:lineRule="auto"/>
        <w:ind w:left="210" w:hanging="210" w:hangingChars="100"/>
        <w:rPr>
          <w:rFonts w:ascii="宋体" w:hAnsi="宋体"/>
          <w:szCs w:val="21"/>
          <w:highlight w:val="none"/>
        </w:rPr>
      </w:pPr>
      <w:r>
        <w:rPr>
          <w:rFonts w:hint="eastAsia" w:ascii="宋体" w:hAnsi="宋体"/>
          <w:szCs w:val="21"/>
          <w:highlight w:val="none"/>
        </w:rPr>
        <w:t>2、 “渠道决策的六个C”分别是</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rPr>
        <w:t xml:space="preserve"> </w:t>
      </w:r>
    </w:p>
    <w:p w14:paraId="7A0F1BE9">
      <w:pPr>
        <w:spacing w:line="360" w:lineRule="auto"/>
        <w:ind w:left="210" w:hanging="210" w:hangingChars="100"/>
        <w:rPr>
          <w:rFonts w:ascii="宋体" w:hAnsi="宋体"/>
          <w:szCs w:val="21"/>
          <w:highlight w:val="none"/>
        </w:rPr>
      </w:pPr>
      <w:r>
        <w:rPr>
          <w:rFonts w:ascii="宋体" w:hAnsi="宋体"/>
          <w:szCs w:val="21"/>
          <w:highlight w:val="none"/>
        </w:rPr>
        <w:t>3</w:t>
      </w:r>
      <w:r>
        <w:rPr>
          <w:rFonts w:hint="eastAsia" w:ascii="宋体" w:hAnsi="宋体"/>
          <w:szCs w:val="21"/>
          <w:highlight w:val="none"/>
        </w:rPr>
        <w:t>、 与其他促销方式相比，直复营销突出的特点有</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p>
    <w:p w14:paraId="4CB8B53D">
      <w:pPr>
        <w:spacing w:line="360" w:lineRule="auto"/>
        <w:ind w:left="210" w:hanging="210" w:hangingChars="100"/>
        <w:rPr>
          <w:rFonts w:ascii="宋体" w:hAnsi="宋体"/>
          <w:szCs w:val="21"/>
          <w:highlight w:val="none"/>
        </w:rPr>
      </w:pPr>
      <w:r>
        <w:rPr>
          <w:rFonts w:ascii="宋体" w:hAnsi="宋体"/>
          <w:szCs w:val="21"/>
          <w:highlight w:val="none"/>
          <w:u w:val="single"/>
        </w:rPr>
        <w:t xml:space="preserve">              </w:t>
      </w:r>
      <w:r>
        <w:rPr>
          <w:rFonts w:hint="eastAsia" w:ascii="宋体" w:hAnsi="宋体"/>
          <w:szCs w:val="21"/>
          <w:highlight w:val="none"/>
        </w:rPr>
        <w:t>。</w:t>
      </w:r>
    </w:p>
    <w:p w14:paraId="00149AC2">
      <w:pPr>
        <w:spacing w:line="360" w:lineRule="auto"/>
        <w:ind w:left="210" w:hanging="210" w:hangingChars="100"/>
        <w:rPr>
          <w:rFonts w:ascii="宋体" w:hAnsi="宋体"/>
          <w:szCs w:val="21"/>
          <w:highlight w:val="none"/>
        </w:rPr>
      </w:pPr>
      <w:r>
        <w:rPr>
          <w:rFonts w:hint="eastAsia" w:ascii="宋体" w:hAnsi="宋体"/>
          <w:szCs w:val="21"/>
          <w:highlight w:val="none"/>
        </w:rPr>
        <w:t>4、 常用的营销控制手段主要有</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p>
    <w:p w14:paraId="71F92E51">
      <w:pPr>
        <w:spacing w:line="360" w:lineRule="auto"/>
        <w:ind w:left="210" w:hanging="210" w:hangingChars="100"/>
        <w:rPr>
          <w:szCs w:val="21"/>
          <w:highlight w:val="none"/>
        </w:rPr>
      </w:pPr>
      <w:r>
        <w:rPr>
          <w:rFonts w:ascii="宋体" w:hAnsi="宋体"/>
          <w:szCs w:val="21"/>
          <w:highlight w:val="none"/>
        </w:rPr>
        <w:t>5</w:t>
      </w:r>
      <w:r>
        <w:rPr>
          <w:rFonts w:hint="eastAsia" w:ascii="宋体" w:hAnsi="宋体"/>
          <w:szCs w:val="21"/>
          <w:highlight w:val="none"/>
        </w:rPr>
        <w:t>、传统的</w:t>
      </w:r>
      <w:r>
        <w:rPr>
          <w:szCs w:val="21"/>
          <w:highlight w:val="none"/>
        </w:rPr>
        <w:t>4P</w:t>
      </w:r>
      <w:r>
        <w:rPr>
          <w:rFonts w:hint="eastAsia"/>
          <w:szCs w:val="21"/>
          <w:highlight w:val="none"/>
        </w:rPr>
        <w:t>营销组合策略在服务市场营销中具有局限性，营销学者在它的基础上又增加</w:t>
      </w:r>
    </w:p>
    <w:p w14:paraId="61C2B996">
      <w:pPr>
        <w:spacing w:line="360" w:lineRule="auto"/>
        <w:ind w:left="210" w:hanging="210" w:hangingChars="100"/>
        <w:rPr>
          <w:szCs w:val="21"/>
          <w:highlight w:val="none"/>
        </w:rPr>
      </w:pPr>
      <w:r>
        <w:rPr>
          <w:rFonts w:hint="eastAsia"/>
          <w:szCs w:val="21"/>
          <w:highlight w:val="none"/>
        </w:rPr>
        <w:t>了3个P：</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和</w:t>
      </w:r>
      <w:r>
        <w:rPr>
          <w:rFonts w:ascii="宋体" w:hAnsi="宋体"/>
          <w:szCs w:val="21"/>
          <w:highlight w:val="none"/>
          <w:u w:val="single"/>
        </w:rPr>
        <w:t xml:space="preserve">            </w:t>
      </w:r>
      <w:r>
        <w:rPr>
          <w:rFonts w:hint="eastAsia" w:ascii="宋体" w:hAnsi="宋体"/>
          <w:szCs w:val="21"/>
          <w:highlight w:val="none"/>
        </w:rPr>
        <w:t>。</w:t>
      </w:r>
    </w:p>
    <w:bookmarkEnd w:id="7"/>
    <w:bookmarkEnd w:id="9"/>
    <w:bookmarkEnd w:id="10"/>
    <w:p w14:paraId="6FB4E99F">
      <w:pPr>
        <w:spacing w:line="360" w:lineRule="auto"/>
        <w:ind w:left="840" w:hanging="840" w:hangingChars="400"/>
        <w:rPr>
          <w:rFonts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 研究一个国家的经济环境主要应对该国的</w:t>
      </w:r>
      <w:bookmarkStart w:id="11" w:name="_Hlk69672165"/>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p>
    <w:p w14:paraId="0A7376DF">
      <w:pPr>
        <w:spacing w:line="360" w:lineRule="auto"/>
        <w:ind w:left="840" w:hanging="840" w:hangingChars="400"/>
        <w:rPr>
          <w:rFonts w:ascii="宋体" w:hAnsi="宋体"/>
          <w:color w:val="000000"/>
          <w:szCs w:val="21"/>
          <w:highlight w:val="none"/>
          <w:u w:val="single"/>
        </w:rPr>
      </w:pPr>
      <w:r>
        <w:rPr>
          <w:rFonts w:ascii="宋体" w:hAnsi="宋体"/>
          <w:color w:val="000000"/>
          <w:szCs w:val="21"/>
          <w:highlight w:val="none"/>
          <w:u w:val="single"/>
        </w:rPr>
        <w:t xml:space="preserve">               </w:t>
      </w:r>
      <w:bookmarkEnd w:id="11"/>
      <w:r>
        <w:rPr>
          <w:rFonts w:hint="eastAsia" w:ascii="宋体" w:hAnsi="宋体"/>
          <w:color w:val="000000"/>
          <w:szCs w:val="21"/>
          <w:highlight w:val="none"/>
        </w:rPr>
        <w:t>等进行分析。</w:t>
      </w:r>
    </w:p>
    <w:p w14:paraId="0AA3F11A">
      <w:pPr>
        <w:spacing w:line="360" w:lineRule="auto"/>
        <w:rPr>
          <w:rFonts w:ascii="宋体" w:hAnsi="宋体"/>
          <w:szCs w:val="21"/>
          <w:highlight w:val="none"/>
        </w:rPr>
      </w:pPr>
      <w:r>
        <w:rPr>
          <w:rFonts w:ascii="宋体" w:hAnsi="宋体"/>
          <w:szCs w:val="21"/>
          <w:highlight w:val="none"/>
        </w:rPr>
        <w:t>7</w:t>
      </w:r>
      <w:r>
        <w:rPr>
          <w:rFonts w:hint="eastAsia" w:ascii="宋体" w:hAnsi="宋体"/>
          <w:szCs w:val="21"/>
          <w:highlight w:val="none"/>
        </w:rPr>
        <w:t>、 国际市场营销调研的程序</w:t>
      </w:r>
      <w:r>
        <w:rPr>
          <w:rFonts w:ascii="宋体" w:hAnsi="宋体"/>
          <w:szCs w:val="21"/>
          <w:highlight w:val="none"/>
        </w:rPr>
        <w:t>一般分5个步骤：</w:t>
      </w:r>
      <w:bookmarkStart w:id="12" w:name="_Hlk69672694"/>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p>
    <w:p w14:paraId="4E652CBD">
      <w:pPr>
        <w:spacing w:line="360" w:lineRule="auto"/>
        <w:rPr>
          <w:rFonts w:ascii="宋体" w:hAnsi="宋体"/>
          <w:color w:val="000000"/>
          <w:szCs w:val="21"/>
          <w:highlight w:val="none"/>
        </w:rPr>
      </w:pP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ascii="宋体" w:hAnsi="宋体"/>
          <w:szCs w:val="21"/>
          <w:highlight w:val="none"/>
        </w:rPr>
        <w:t>。</w:t>
      </w:r>
    </w:p>
    <w:bookmarkEnd w:id="12"/>
    <w:p w14:paraId="1A7234A4">
      <w:pPr>
        <w:spacing w:line="360" w:lineRule="auto"/>
        <w:rPr>
          <w:rFonts w:hint="eastAsia" w:ascii="宋体" w:hAnsi="宋体"/>
          <w:color w:val="000000"/>
          <w:szCs w:val="21"/>
          <w:highlight w:val="none"/>
        </w:rPr>
      </w:pPr>
      <w:r>
        <w:rPr>
          <w:rFonts w:ascii="宋体" w:hAnsi="宋体"/>
          <w:color w:val="000000"/>
          <w:szCs w:val="21"/>
          <w:highlight w:val="none"/>
        </w:rPr>
        <w:t>8</w:t>
      </w:r>
      <w:r>
        <w:rPr>
          <w:rFonts w:hint="eastAsia" w:ascii="宋体" w:hAnsi="宋体"/>
          <w:color w:val="000000"/>
          <w:szCs w:val="21"/>
          <w:highlight w:val="none"/>
        </w:rPr>
        <w:t>、企业在国际市场营销活动中的定价目标主要有</w:t>
      </w:r>
      <w:bookmarkStart w:id="13" w:name="_Hlk69673079"/>
      <w:bookmarkStart w:id="14" w:name="_Hlk69672382"/>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bookmarkEnd w:id="13"/>
    </w:p>
    <w:bookmarkEnd w:id="14"/>
    <w:p w14:paraId="2A5A3339">
      <w:pPr>
        <w:spacing w:line="360" w:lineRule="auto"/>
        <w:rPr>
          <w:rFonts w:hint="eastAsia" w:ascii="宋体" w:hAnsi="宋体"/>
          <w:color w:val="000000"/>
          <w:szCs w:val="21"/>
          <w:highlight w:val="none"/>
          <w:u w:val="single"/>
        </w:rPr>
      </w:pPr>
      <w:r>
        <w:rPr>
          <w:rFonts w:ascii="宋体" w:hAnsi="宋体"/>
          <w:color w:val="000000"/>
          <w:szCs w:val="21"/>
          <w:highlight w:val="none"/>
        </w:rPr>
        <w:t>9</w:t>
      </w:r>
      <w:r>
        <w:rPr>
          <w:rFonts w:hint="eastAsia" w:ascii="宋体" w:hAnsi="宋体"/>
          <w:color w:val="000000"/>
          <w:szCs w:val="21"/>
          <w:highlight w:val="none"/>
        </w:rPr>
        <w:t>、 影响国际市场营销组织结构的因素</w:t>
      </w:r>
      <w:bookmarkStart w:id="15" w:name="_Hlk69672404"/>
      <w:r>
        <w:rPr>
          <w:rFonts w:hint="eastAsia" w:ascii="宋体" w:hAnsi="宋体"/>
          <w:color w:val="000000"/>
          <w:szCs w:val="21"/>
          <w:highlight w:val="none"/>
        </w:rPr>
        <w:t>有</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ascii="宋体" w:hAnsi="宋体"/>
          <w:color w:val="000000"/>
          <w:szCs w:val="21"/>
          <w:highlight w:val="none"/>
        </w:rPr>
        <w:t xml:space="preserve"> </w:t>
      </w:r>
      <w:r>
        <w:rPr>
          <w:rFonts w:ascii="宋体" w:hAnsi="宋体"/>
          <w:color w:val="000000"/>
          <w:szCs w:val="21"/>
          <w:highlight w:val="none"/>
          <w:u w:val="single"/>
        </w:rPr>
        <w:t xml:space="preserve">    </w:t>
      </w:r>
    </w:p>
    <w:bookmarkEnd w:id="15"/>
    <w:p w14:paraId="01D6C6F4">
      <w:pPr>
        <w:spacing w:line="360" w:lineRule="auto"/>
        <w:rPr>
          <w:rFonts w:hint="eastAsia" w:ascii="宋体" w:hAnsi="宋体"/>
          <w:color w:val="000000"/>
          <w:szCs w:val="21"/>
          <w:highlight w:val="none"/>
        </w:rPr>
      </w:pPr>
      <w:r>
        <w:rPr>
          <w:rFonts w:ascii="宋体" w:hAnsi="宋体"/>
          <w:color w:val="000000"/>
          <w:szCs w:val="21"/>
          <w:highlight w:val="none"/>
        </w:rPr>
        <w:t>10</w:t>
      </w:r>
      <w:r>
        <w:rPr>
          <w:rFonts w:hint="eastAsia" w:ascii="宋体" w:hAnsi="宋体"/>
          <w:color w:val="000000"/>
          <w:szCs w:val="21"/>
          <w:highlight w:val="none"/>
        </w:rPr>
        <w:t>、 依据不同的方式和控制程度，企业对多国调查的组织与协调可分为</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三种类型。</w:t>
      </w:r>
    </w:p>
    <w:p w14:paraId="4082ED74">
      <w:pPr>
        <w:spacing w:line="360" w:lineRule="auto"/>
        <w:rPr>
          <w:rFonts w:hint="default" w:ascii="宋体" w:hAnsi="宋体" w:eastAsia="宋体"/>
          <w:szCs w:val="21"/>
          <w:highlight w:val="none"/>
          <w:lang w:val="en-US" w:eastAsia="zh-CN"/>
        </w:rPr>
      </w:pPr>
      <w:r>
        <w:rPr>
          <w:rFonts w:hint="eastAsia" w:ascii="宋体" w:hAnsi="宋体"/>
          <w:szCs w:val="21"/>
          <w:highlight w:val="none"/>
          <w:lang w:val="en-US" w:eastAsia="zh-CN"/>
        </w:rPr>
        <w:t>11、</w:t>
      </w:r>
      <w:r>
        <w:rPr>
          <w:rFonts w:hint="eastAsia" w:ascii="宋体" w:hAnsi="宋体"/>
          <w:szCs w:val="21"/>
          <w:highlight w:val="none"/>
        </w:rPr>
        <w:t>各国都有各自的资源优势，国际企业可以通过全球营销充分利用这些资源优势。全球营销的资源动因包括</w:t>
      </w:r>
      <w:r>
        <w:rPr>
          <w:rFonts w:hint="eastAsia" w:ascii="宋体" w:hAnsi="宋体"/>
          <w:szCs w:val="21"/>
          <w:highlight w:val="none"/>
          <w:u w:val="single"/>
          <w:lang w:val="en-US" w:eastAsia="zh-CN"/>
        </w:rPr>
        <w:t xml:space="preserve">          </w:t>
      </w:r>
      <w:r>
        <w:rPr>
          <w:rFonts w:hint="eastAsia" w:ascii="宋体" w:hAnsi="宋体"/>
          <w:szCs w:val="21"/>
          <w:highlight w:val="none"/>
          <w:u w:val="none"/>
        </w:rPr>
        <w:t>、</w:t>
      </w:r>
      <w:r>
        <w:rPr>
          <w:rFonts w:hint="eastAsia" w:ascii="宋体" w:hAnsi="宋体"/>
          <w:szCs w:val="21"/>
          <w:highlight w:val="none"/>
          <w:u w:val="single"/>
          <w:lang w:val="en-US" w:eastAsia="zh-CN"/>
        </w:rPr>
        <w:t xml:space="preserve">          </w:t>
      </w:r>
      <w:r>
        <w:rPr>
          <w:rFonts w:hint="eastAsia" w:ascii="宋体" w:hAnsi="宋体"/>
          <w:szCs w:val="21"/>
          <w:highlight w:val="none"/>
          <w:u w:val="none"/>
        </w:rPr>
        <w:t>、</w:t>
      </w:r>
      <w:r>
        <w:rPr>
          <w:rFonts w:hint="eastAsia" w:ascii="宋体" w:hAnsi="宋体"/>
          <w:szCs w:val="21"/>
          <w:highlight w:val="none"/>
          <w:u w:val="single"/>
          <w:lang w:val="en-US" w:eastAsia="zh-CN"/>
        </w:rPr>
        <w:t xml:space="preserve">          </w:t>
      </w:r>
      <w:r>
        <w:rPr>
          <w:rFonts w:hint="eastAsia" w:ascii="宋体" w:hAnsi="宋体"/>
          <w:szCs w:val="21"/>
          <w:highlight w:val="none"/>
          <w:u w:val="none"/>
        </w:rPr>
        <w:t>和</w:t>
      </w:r>
      <w:r>
        <w:rPr>
          <w:rFonts w:hint="eastAsia" w:ascii="宋体" w:hAnsi="宋体"/>
          <w:szCs w:val="21"/>
          <w:highlight w:val="none"/>
          <w:u w:val="single"/>
          <w:lang w:val="en-US" w:eastAsia="zh-CN"/>
        </w:rPr>
        <w:t xml:space="preserve">          </w:t>
      </w:r>
      <w:r>
        <w:rPr>
          <w:rFonts w:hint="eastAsia" w:ascii="宋体" w:hAnsi="宋体"/>
          <w:szCs w:val="21"/>
          <w:highlight w:val="none"/>
        </w:rPr>
        <w:t>。</w:t>
      </w:r>
    </w:p>
    <w:p w14:paraId="5F3682A7">
      <w:pPr>
        <w:spacing w:line="360" w:lineRule="auto"/>
        <w:ind w:left="241" w:hanging="241" w:hangingChars="100"/>
        <w:rPr>
          <w:rFonts w:ascii="宋体" w:hAnsi="宋体"/>
          <w:szCs w:val="21"/>
          <w:highlight w:val="none"/>
        </w:rPr>
      </w:pPr>
      <w:r>
        <w:rPr>
          <w:rFonts w:hint="eastAsia" w:ascii="黑体" w:hAnsi="黑体" w:eastAsia="黑体"/>
          <w:b/>
          <w:sz w:val="24"/>
          <w:highlight w:val="none"/>
        </w:rPr>
        <w:t>三、简答题</w:t>
      </w:r>
    </w:p>
    <w:p w14:paraId="558A53B4">
      <w:pPr>
        <w:spacing w:line="360" w:lineRule="auto"/>
        <w:rPr>
          <w:rFonts w:ascii="宋体" w:hAnsi="宋体"/>
          <w:szCs w:val="21"/>
          <w:highlight w:val="none"/>
        </w:rPr>
      </w:pPr>
      <w:r>
        <w:rPr>
          <w:rFonts w:hint="eastAsia" w:ascii="宋体" w:hAnsi="宋体"/>
          <w:szCs w:val="21"/>
          <w:highlight w:val="none"/>
        </w:rPr>
        <w:t>1、简述</w:t>
      </w:r>
      <w:bookmarkStart w:id="16" w:name="_Hlk69722015"/>
      <w:r>
        <w:rPr>
          <w:rFonts w:hint="eastAsia" w:ascii="宋体" w:hAnsi="宋体"/>
          <w:szCs w:val="21"/>
          <w:highlight w:val="none"/>
        </w:rPr>
        <w:t>企业选择国内外中间商的标准</w:t>
      </w:r>
      <w:bookmarkEnd w:id="16"/>
      <w:r>
        <w:rPr>
          <w:rFonts w:hint="eastAsia" w:ascii="宋体" w:hAnsi="宋体"/>
          <w:szCs w:val="21"/>
          <w:highlight w:val="none"/>
        </w:rPr>
        <w:t>。</w:t>
      </w:r>
    </w:p>
    <w:p w14:paraId="36BA00DD">
      <w:pPr>
        <w:spacing w:line="360" w:lineRule="auto"/>
        <w:rPr>
          <w:rFonts w:ascii="宋体" w:hAnsi="宋体"/>
          <w:szCs w:val="21"/>
          <w:highlight w:val="none"/>
        </w:rPr>
      </w:pPr>
    </w:p>
    <w:p w14:paraId="3E04B588">
      <w:pPr>
        <w:spacing w:line="360" w:lineRule="auto"/>
        <w:rPr>
          <w:rFonts w:ascii="宋体" w:hAnsi="宋体"/>
          <w:szCs w:val="21"/>
          <w:highlight w:val="none"/>
        </w:rPr>
      </w:pPr>
    </w:p>
    <w:p w14:paraId="67FA5AB6">
      <w:pPr>
        <w:spacing w:line="360" w:lineRule="auto"/>
        <w:rPr>
          <w:rFonts w:ascii="宋体" w:hAnsi="宋体"/>
          <w:szCs w:val="21"/>
          <w:highlight w:val="none"/>
        </w:rPr>
      </w:pPr>
    </w:p>
    <w:p w14:paraId="6418D5B3">
      <w:pPr>
        <w:spacing w:line="360" w:lineRule="auto"/>
        <w:rPr>
          <w:rFonts w:ascii="宋体" w:hAnsi="宋体"/>
          <w:szCs w:val="21"/>
          <w:highlight w:val="none"/>
        </w:rPr>
      </w:pPr>
      <w:r>
        <w:rPr>
          <w:rFonts w:hint="eastAsia" w:ascii="宋体" w:hAnsi="宋体"/>
          <w:szCs w:val="21"/>
          <w:highlight w:val="none"/>
        </w:rPr>
        <w:t>2、简述</w:t>
      </w:r>
      <w:bookmarkStart w:id="17" w:name="_Hlk69724644"/>
      <w:r>
        <w:rPr>
          <w:rFonts w:hint="eastAsia" w:ascii="宋体" w:hAnsi="宋体"/>
          <w:szCs w:val="21"/>
          <w:highlight w:val="none"/>
        </w:rPr>
        <w:t>当代国际市场服务营销的基本特征及发展趋势</w:t>
      </w:r>
      <w:bookmarkEnd w:id="17"/>
      <w:r>
        <w:rPr>
          <w:rFonts w:hint="eastAsia" w:ascii="宋体" w:hAnsi="宋体"/>
          <w:szCs w:val="21"/>
          <w:highlight w:val="none"/>
        </w:rPr>
        <w:t>。</w:t>
      </w:r>
    </w:p>
    <w:p w14:paraId="11241356">
      <w:pPr>
        <w:spacing w:line="360" w:lineRule="auto"/>
        <w:rPr>
          <w:rFonts w:ascii="宋体" w:hAnsi="宋体"/>
          <w:szCs w:val="21"/>
          <w:highlight w:val="none"/>
        </w:rPr>
      </w:pPr>
    </w:p>
    <w:p w14:paraId="30D4E874">
      <w:pPr>
        <w:spacing w:line="360" w:lineRule="auto"/>
        <w:rPr>
          <w:rFonts w:ascii="宋体" w:hAnsi="宋体"/>
          <w:szCs w:val="21"/>
          <w:highlight w:val="none"/>
        </w:rPr>
      </w:pPr>
    </w:p>
    <w:p w14:paraId="07163DDF">
      <w:pPr>
        <w:spacing w:line="360" w:lineRule="auto"/>
        <w:rPr>
          <w:rFonts w:ascii="宋体" w:hAnsi="宋体"/>
          <w:szCs w:val="21"/>
          <w:highlight w:val="none"/>
        </w:rPr>
      </w:pPr>
    </w:p>
    <w:p w14:paraId="18EFB2F7">
      <w:pPr>
        <w:spacing w:line="360" w:lineRule="auto"/>
        <w:rPr>
          <w:rFonts w:hint="eastAsia" w:ascii="宋体" w:hAnsi="宋体"/>
          <w:szCs w:val="21"/>
          <w:highlight w:val="none"/>
        </w:rPr>
      </w:pPr>
      <w:r>
        <w:rPr>
          <w:rFonts w:ascii="宋体" w:hAnsi="宋体"/>
          <w:szCs w:val="21"/>
          <w:highlight w:val="none"/>
        </w:rPr>
        <w:t>3</w:t>
      </w:r>
      <w:r>
        <w:rPr>
          <w:rFonts w:hint="eastAsia" w:ascii="宋体" w:hAnsi="宋体"/>
          <w:szCs w:val="21"/>
          <w:highlight w:val="none"/>
        </w:rPr>
        <w:t>、简述</w:t>
      </w:r>
      <w:bookmarkStart w:id="18" w:name="_Hlk69661165"/>
      <w:r>
        <w:rPr>
          <w:rFonts w:hint="eastAsia" w:ascii="宋体" w:hAnsi="宋体"/>
          <w:szCs w:val="21"/>
          <w:highlight w:val="none"/>
        </w:rPr>
        <w:t>企业制定国际市场定位战略决策的程序</w:t>
      </w:r>
      <w:bookmarkEnd w:id="18"/>
      <w:r>
        <w:rPr>
          <w:rFonts w:hint="eastAsia" w:ascii="宋体" w:hAnsi="宋体"/>
          <w:szCs w:val="21"/>
          <w:highlight w:val="none"/>
        </w:rPr>
        <w:t>。</w:t>
      </w:r>
    </w:p>
    <w:p w14:paraId="3EB17FC7">
      <w:pPr>
        <w:spacing w:line="360" w:lineRule="auto"/>
        <w:rPr>
          <w:rFonts w:hint="eastAsia" w:ascii="Calibri" w:hAnsi="Calibri"/>
          <w:sz w:val="22"/>
          <w:highlight w:val="none"/>
        </w:rPr>
      </w:pPr>
    </w:p>
    <w:p w14:paraId="3A7FCB29">
      <w:pPr>
        <w:spacing w:line="360" w:lineRule="auto"/>
        <w:rPr>
          <w:rFonts w:hint="eastAsia" w:ascii="Calibri" w:hAnsi="Calibri"/>
          <w:sz w:val="22"/>
          <w:highlight w:val="none"/>
        </w:rPr>
      </w:pPr>
    </w:p>
    <w:p w14:paraId="14F680FA">
      <w:pPr>
        <w:widowControl/>
        <w:rPr>
          <w:rFonts w:hAnsi="Calibri"/>
          <w:b/>
          <w:color w:val="FF0000"/>
          <w:sz w:val="28"/>
          <w:highlight w:val="none"/>
        </w:rPr>
      </w:pPr>
    </w:p>
    <w:p w14:paraId="4FBEB563">
      <w:pPr>
        <w:widowControl/>
        <w:rPr>
          <w:rFonts w:hint="eastAsia" w:ascii="宋体" w:hAnsi="宋体"/>
          <w:bCs/>
          <w:color w:val="000000"/>
          <w:szCs w:val="21"/>
          <w:highlight w:val="none"/>
        </w:rPr>
      </w:pPr>
    </w:p>
    <w:p w14:paraId="62416424">
      <w:pPr>
        <w:widowControl/>
        <w:rPr>
          <w:rFonts w:hint="eastAsia" w:ascii="宋体" w:hAnsi="宋体"/>
          <w:bCs/>
          <w:color w:val="000000"/>
          <w:szCs w:val="21"/>
          <w:highlight w:val="none"/>
        </w:rPr>
      </w:pPr>
      <w:r>
        <w:rPr>
          <w:rFonts w:ascii="宋体" w:hAnsi="宋体"/>
          <w:bCs/>
          <w:color w:val="000000"/>
          <w:szCs w:val="21"/>
          <w:highlight w:val="none"/>
        </w:rPr>
        <w:t>4</w:t>
      </w:r>
      <w:r>
        <w:rPr>
          <w:rFonts w:hint="eastAsia" w:ascii="宋体" w:hAnsi="宋体"/>
          <w:bCs/>
          <w:color w:val="000000"/>
          <w:szCs w:val="21"/>
          <w:highlight w:val="none"/>
        </w:rPr>
        <w:t>、简述国际市场实体分销的主要功能。</w:t>
      </w:r>
    </w:p>
    <w:p w14:paraId="01AB965E">
      <w:pPr>
        <w:widowControl/>
        <w:rPr>
          <w:rFonts w:hAnsi="Calibri"/>
          <w:b/>
          <w:color w:val="FF0000"/>
          <w:sz w:val="28"/>
          <w:highlight w:val="none"/>
        </w:rPr>
      </w:pPr>
    </w:p>
    <w:p w14:paraId="1CB63286">
      <w:pPr>
        <w:widowControl/>
        <w:rPr>
          <w:rFonts w:hAnsi="Calibri"/>
          <w:b/>
          <w:color w:val="FF0000"/>
          <w:sz w:val="28"/>
          <w:highlight w:val="none"/>
        </w:rPr>
      </w:pPr>
    </w:p>
    <w:p w14:paraId="6749068C">
      <w:pPr>
        <w:widowControl/>
        <w:rPr>
          <w:rFonts w:hint="eastAsia" w:hAnsi="Calibri"/>
          <w:b/>
          <w:color w:val="FF0000"/>
          <w:sz w:val="28"/>
          <w:highlight w:val="none"/>
        </w:rPr>
      </w:pPr>
    </w:p>
    <w:p w14:paraId="778D186D">
      <w:pPr>
        <w:widowControl/>
        <w:rPr>
          <w:rFonts w:hint="eastAsia" w:ascii="宋体" w:hAnsi="宋体"/>
          <w:bCs/>
          <w:szCs w:val="21"/>
          <w:highlight w:val="none"/>
        </w:rPr>
      </w:pPr>
      <w:r>
        <w:rPr>
          <w:rFonts w:ascii="宋体" w:hAnsi="宋体"/>
          <w:bCs/>
          <w:szCs w:val="21"/>
          <w:highlight w:val="none"/>
        </w:rPr>
        <w:t>5</w:t>
      </w:r>
      <w:r>
        <w:rPr>
          <w:rFonts w:hint="eastAsia" w:ascii="宋体" w:hAnsi="宋体"/>
          <w:bCs/>
          <w:szCs w:val="21"/>
          <w:highlight w:val="none"/>
        </w:rPr>
        <w:t>、</w:t>
      </w:r>
      <w:bookmarkStart w:id="19" w:name="_Hlk69723293"/>
      <w:r>
        <w:rPr>
          <w:rFonts w:hint="eastAsia" w:ascii="宋体" w:hAnsi="宋体"/>
          <w:bCs/>
          <w:szCs w:val="21"/>
          <w:highlight w:val="none"/>
        </w:rPr>
        <w:t>国际营销战略规划的内容有</w:t>
      </w:r>
      <w:bookmarkEnd w:id="19"/>
      <w:r>
        <w:rPr>
          <w:rFonts w:hint="eastAsia" w:ascii="宋体" w:hAnsi="宋体"/>
          <w:bCs/>
          <w:szCs w:val="21"/>
          <w:highlight w:val="none"/>
        </w:rPr>
        <w:t>哪些？</w:t>
      </w:r>
    </w:p>
    <w:p w14:paraId="7AEEF931">
      <w:pPr>
        <w:widowControl/>
        <w:rPr>
          <w:rFonts w:ascii="宋体" w:hAnsi="宋体"/>
          <w:bCs/>
          <w:szCs w:val="21"/>
          <w:highlight w:val="none"/>
        </w:rPr>
      </w:pPr>
    </w:p>
    <w:p w14:paraId="4948DE78">
      <w:pPr>
        <w:widowControl/>
        <w:rPr>
          <w:rFonts w:hAnsi="Calibri"/>
          <w:b/>
          <w:color w:val="FF0000"/>
          <w:sz w:val="28"/>
          <w:highlight w:val="none"/>
        </w:rPr>
      </w:pPr>
    </w:p>
    <w:p w14:paraId="0CA94A5A">
      <w:pPr>
        <w:widowControl/>
        <w:rPr>
          <w:rFonts w:hAnsi="Calibri"/>
          <w:b/>
          <w:color w:val="FF0000"/>
          <w:sz w:val="28"/>
          <w:highlight w:val="none"/>
        </w:rPr>
      </w:pPr>
    </w:p>
    <w:p w14:paraId="3005FBFA">
      <w:pPr>
        <w:widowControl/>
        <w:rPr>
          <w:rFonts w:hint="eastAsia" w:hAnsi="Calibri" w:eastAsia="宋体"/>
          <w:b/>
          <w:color w:val="FF0000"/>
          <w:sz w:val="28"/>
          <w:highlight w:val="none"/>
          <w:lang w:val="en-US" w:eastAsia="zh-CN"/>
        </w:rPr>
      </w:pPr>
      <w:r>
        <w:rPr>
          <w:rFonts w:hint="eastAsia" w:ascii="宋体" w:hAnsi="宋体"/>
          <w:bCs/>
          <w:szCs w:val="21"/>
          <w:highlight w:val="none"/>
          <w:lang w:val="en-US" w:eastAsia="zh-CN"/>
        </w:rPr>
        <w:t>6、</w:t>
      </w:r>
      <w:r>
        <w:rPr>
          <w:rFonts w:hint="eastAsia" w:ascii="宋体" w:hAnsi="宋体"/>
          <w:bCs/>
          <w:szCs w:val="21"/>
          <w:highlight w:val="none"/>
        </w:rPr>
        <w:t>简述</w:t>
      </w:r>
      <w:bookmarkStart w:id="20" w:name="_Hlk175767956"/>
      <w:r>
        <w:rPr>
          <w:rFonts w:hint="eastAsia" w:ascii="宋体" w:hAnsi="宋体"/>
          <w:szCs w:val="21"/>
          <w:highlight w:val="none"/>
        </w:rPr>
        <w:t>全球目标市场战略类型以及决策时应考虑的因素</w:t>
      </w:r>
      <w:bookmarkEnd w:id="20"/>
      <w:r>
        <w:rPr>
          <w:rFonts w:hint="eastAsia" w:ascii="宋体" w:hAnsi="宋体"/>
          <w:szCs w:val="21"/>
          <w:highlight w:val="none"/>
        </w:rPr>
        <w:t>。</w:t>
      </w:r>
    </w:p>
    <w:p w14:paraId="4BE05B79">
      <w:pPr>
        <w:widowControl/>
        <w:rPr>
          <w:rFonts w:hAnsi="Calibri"/>
          <w:b/>
          <w:color w:val="FF0000"/>
          <w:sz w:val="28"/>
          <w:highlight w:val="none"/>
        </w:rPr>
      </w:pPr>
    </w:p>
    <w:p w14:paraId="7A5BF8BB">
      <w:pPr>
        <w:spacing w:line="360" w:lineRule="auto"/>
        <w:rPr>
          <w:rFonts w:hint="eastAsia" w:ascii="宋体" w:hAnsi="宋体"/>
          <w:szCs w:val="21"/>
          <w:highlight w:val="none"/>
        </w:rPr>
      </w:pPr>
    </w:p>
    <w:p w14:paraId="13F2BF97">
      <w:pPr>
        <w:spacing w:line="360" w:lineRule="auto"/>
        <w:rPr>
          <w:rFonts w:ascii="宋体" w:hAnsi="宋体"/>
          <w:b/>
          <w:sz w:val="24"/>
          <w:highlight w:val="none"/>
        </w:rPr>
      </w:pPr>
      <w:r>
        <w:rPr>
          <w:rFonts w:hint="eastAsia" w:ascii="黑体" w:hAnsi="黑体" w:eastAsia="黑体"/>
          <w:b/>
          <w:sz w:val="24"/>
          <w:highlight w:val="none"/>
        </w:rPr>
        <w:t>四、</w:t>
      </w:r>
      <w:bookmarkStart w:id="21" w:name="_Hlk68267631"/>
      <w:r>
        <w:rPr>
          <w:rFonts w:hint="eastAsia" w:ascii="黑体" w:hAnsi="黑体" w:eastAsia="黑体"/>
          <w:b/>
          <w:sz w:val="24"/>
          <w:highlight w:val="none"/>
        </w:rPr>
        <w:t>论述题</w:t>
      </w:r>
    </w:p>
    <w:p w14:paraId="17ABA1EC">
      <w:pPr>
        <w:spacing w:line="360" w:lineRule="auto"/>
        <w:rPr>
          <w:rFonts w:ascii="宋体" w:hAnsi="宋体"/>
          <w:szCs w:val="21"/>
          <w:highlight w:val="none"/>
        </w:rPr>
      </w:pPr>
      <w:r>
        <w:rPr>
          <w:rFonts w:hint="eastAsia" w:ascii="宋体" w:hAnsi="宋体"/>
          <w:szCs w:val="21"/>
          <w:highlight w:val="none"/>
        </w:rPr>
        <w:t>1、请论述</w:t>
      </w:r>
      <w:bookmarkStart w:id="22" w:name="_Hlk69847567"/>
      <w:r>
        <w:rPr>
          <w:rFonts w:hint="eastAsia" w:ascii="宋体" w:hAnsi="宋体"/>
          <w:szCs w:val="21"/>
          <w:highlight w:val="none"/>
        </w:rPr>
        <w:t>国际市场公共关系的主要任务</w:t>
      </w:r>
      <w:bookmarkEnd w:id="22"/>
      <w:r>
        <w:rPr>
          <w:rFonts w:hint="eastAsia" w:ascii="宋体" w:hAnsi="宋体"/>
          <w:szCs w:val="21"/>
          <w:highlight w:val="none"/>
        </w:rPr>
        <w:t>。</w:t>
      </w:r>
    </w:p>
    <w:bookmarkEnd w:id="21"/>
    <w:p w14:paraId="2E6FA72A">
      <w:pPr>
        <w:spacing w:line="360" w:lineRule="auto"/>
        <w:rPr>
          <w:rFonts w:ascii="宋体" w:hAnsi="宋体"/>
          <w:szCs w:val="21"/>
          <w:highlight w:val="none"/>
        </w:rPr>
      </w:pPr>
    </w:p>
    <w:p w14:paraId="52CB4CD7">
      <w:pPr>
        <w:spacing w:line="360" w:lineRule="auto"/>
        <w:rPr>
          <w:rFonts w:ascii="宋体" w:hAnsi="宋体"/>
          <w:szCs w:val="21"/>
          <w:highlight w:val="none"/>
        </w:rPr>
      </w:pPr>
    </w:p>
    <w:p w14:paraId="5C4FBF07">
      <w:pPr>
        <w:spacing w:line="360" w:lineRule="auto"/>
        <w:rPr>
          <w:rFonts w:ascii="宋体" w:hAnsi="宋体"/>
          <w:szCs w:val="21"/>
          <w:highlight w:val="none"/>
        </w:rPr>
      </w:pPr>
    </w:p>
    <w:bookmarkEnd w:id="0"/>
    <w:p w14:paraId="30C96C21">
      <w:pPr>
        <w:widowControl/>
        <w:rPr>
          <w:rFonts w:ascii="宋体" w:hAnsi="宋体"/>
          <w:bCs/>
          <w:szCs w:val="21"/>
          <w:highlight w:val="none"/>
        </w:rPr>
      </w:pPr>
      <w:r>
        <w:rPr>
          <w:rFonts w:ascii="宋体" w:hAnsi="宋体"/>
          <w:bCs/>
          <w:szCs w:val="21"/>
          <w:highlight w:val="none"/>
        </w:rPr>
        <w:t>2</w:t>
      </w:r>
      <w:r>
        <w:rPr>
          <w:rFonts w:hint="eastAsia" w:ascii="宋体" w:hAnsi="宋体"/>
          <w:bCs/>
          <w:szCs w:val="21"/>
          <w:highlight w:val="none"/>
        </w:rPr>
        <w:t>、请论述</w:t>
      </w:r>
      <w:bookmarkStart w:id="23" w:name="_Hlk69722607"/>
      <w:r>
        <w:rPr>
          <w:rFonts w:hint="eastAsia" w:ascii="宋体" w:hAnsi="宋体"/>
          <w:bCs/>
          <w:szCs w:val="21"/>
          <w:highlight w:val="none"/>
        </w:rPr>
        <w:t>中国企业应对反倾销的主要措施</w:t>
      </w:r>
      <w:bookmarkEnd w:id="23"/>
      <w:r>
        <w:rPr>
          <w:rFonts w:hint="eastAsia" w:ascii="宋体" w:hAnsi="宋体"/>
          <w:bCs/>
          <w:szCs w:val="21"/>
          <w:highlight w:val="none"/>
        </w:rPr>
        <w:t>。</w:t>
      </w:r>
    </w:p>
    <w:p w14:paraId="3A45E908">
      <w:pPr>
        <w:widowControl/>
        <w:rPr>
          <w:rFonts w:ascii="宋体" w:hAnsi="宋体"/>
          <w:bCs/>
          <w:szCs w:val="21"/>
          <w:highlight w:val="none"/>
        </w:rPr>
      </w:pPr>
    </w:p>
    <w:p w14:paraId="2709B6D8">
      <w:pPr>
        <w:widowControl/>
        <w:rPr>
          <w:rFonts w:ascii="宋体" w:hAnsi="宋体"/>
          <w:bCs/>
          <w:szCs w:val="21"/>
          <w:highlight w:val="none"/>
        </w:rPr>
      </w:pPr>
    </w:p>
    <w:p w14:paraId="3AB83544">
      <w:pPr>
        <w:widowControl/>
        <w:rPr>
          <w:rFonts w:ascii="宋体" w:hAnsi="宋体"/>
          <w:bCs/>
          <w:szCs w:val="21"/>
          <w:highlight w:val="none"/>
        </w:rPr>
      </w:pPr>
    </w:p>
    <w:p w14:paraId="47E03F67">
      <w:pPr>
        <w:widowControl/>
        <w:rPr>
          <w:rFonts w:ascii="宋体" w:hAnsi="宋体"/>
          <w:bCs/>
          <w:szCs w:val="21"/>
          <w:highlight w:val="none"/>
        </w:rPr>
      </w:pPr>
    </w:p>
    <w:p w14:paraId="7059657C">
      <w:pPr>
        <w:widowControl/>
        <w:rPr>
          <w:rFonts w:ascii="宋体" w:hAnsi="宋体"/>
          <w:bCs/>
          <w:szCs w:val="21"/>
          <w:highlight w:val="none"/>
        </w:rPr>
      </w:pPr>
    </w:p>
    <w:p w14:paraId="3097323F">
      <w:pPr>
        <w:widowControl/>
        <w:rPr>
          <w:rFonts w:ascii="宋体" w:hAnsi="宋体"/>
          <w:bCs/>
          <w:szCs w:val="21"/>
          <w:highlight w:val="none"/>
        </w:rPr>
      </w:pPr>
    </w:p>
    <w:p w14:paraId="4E47FD69">
      <w:pPr>
        <w:widowControl/>
        <w:rPr>
          <w:rFonts w:hint="eastAsia" w:ascii="宋体" w:hAnsi="宋体"/>
          <w:bCs/>
          <w:szCs w:val="21"/>
          <w:highlight w:val="none"/>
        </w:rPr>
      </w:pPr>
      <w:bookmarkStart w:id="24" w:name="_Hlk68441942"/>
      <w:r>
        <w:rPr>
          <w:rFonts w:ascii="宋体" w:hAnsi="宋体"/>
          <w:bCs/>
          <w:szCs w:val="21"/>
          <w:highlight w:val="none"/>
        </w:rPr>
        <w:t>3</w:t>
      </w:r>
      <w:r>
        <w:rPr>
          <w:rFonts w:hint="eastAsia" w:ascii="宋体" w:hAnsi="宋体"/>
          <w:bCs/>
          <w:szCs w:val="21"/>
          <w:highlight w:val="none"/>
        </w:rPr>
        <w:t>、</w:t>
      </w:r>
      <w:bookmarkEnd w:id="24"/>
      <w:r>
        <w:rPr>
          <w:rFonts w:hint="eastAsia" w:ascii="宋体" w:hAnsi="宋体"/>
          <w:bCs/>
          <w:szCs w:val="21"/>
          <w:highlight w:val="none"/>
        </w:rPr>
        <w:t>国际市场网络营销实施过程包括哪些环节？</w:t>
      </w:r>
    </w:p>
    <w:p w14:paraId="38079928">
      <w:pPr>
        <w:rPr>
          <w:rFonts w:ascii="宋体" w:hAnsi="宋体"/>
          <w:szCs w:val="21"/>
          <w:highlight w:val="none"/>
        </w:rPr>
      </w:pPr>
      <w:r>
        <w:rPr>
          <w:rFonts w:ascii="宋体" w:hAnsi="宋体"/>
          <w:szCs w:val="21"/>
          <w:highlight w:val="none"/>
        </w:rPr>
        <w:br w:type="page"/>
      </w:r>
    </w:p>
    <w:p w14:paraId="454DC4DD">
      <w:pPr>
        <w:pStyle w:val="4"/>
        <w:keepNext w:val="0"/>
        <w:keepLines w:val="0"/>
        <w:widowControl/>
        <w:suppressLineNumbers w:val="0"/>
        <w:spacing w:before="0" w:beforeAutospacing="1" w:after="0" w:afterAutospacing="1" w:line="27" w:lineRule="atLeast"/>
        <w:ind w:left="0" w:right="0"/>
        <w:rPr>
          <w:highlight w:val="none"/>
        </w:rPr>
      </w:pPr>
      <w:r>
        <w:rPr>
          <w:b/>
          <w:bCs/>
          <w:color w:val="FF0000"/>
          <w:sz w:val="28"/>
          <w:szCs w:val="28"/>
          <w:highlight w:val="none"/>
        </w:rPr>
        <w:t>参考答案</w:t>
      </w:r>
      <w:r>
        <w:rPr>
          <w:highlight w:val="none"/>
        </w:rPr>
        <w:t xml:space="preserve"> </w:t>
      </w:r>
    </w:p>
    <w:p w14:paraId="0A1C5A70">
      <w:pPr>
        <w:pStyle w:val="4"/>
        <w:keepNext w:val="0"/>
        <w:keepLines w:val="0"/>
        <w:widowControl/>
        <w:suppressLineNumbers w:val="0"/>
        <w:spacing w:before="0" w:beforeAutospacing="1" w:after="0" w:afterAutospacing="1" w:line="27" w:lineRule="atLeast"/>
        <w:ind w:left="0" w:right="0"/>
        <w:rPr>
          <w:highlight w:val="none"/>
        </w:rPr>
      </w:pPr>
      <w:r>
        <w:rPr>
          <w:b/>
          <w:bCs/>
          <w:sz w:val="24"/>
          <w:szCs w:val="24"/>
          <w:highlight w:val="none"/>
        </w:rPr>
        <w:t>一、名词解释</w:t>
      </w:r>
      <w:r>
        <w:rPr>
          <w:highlight w:val="none"/>
        </w:rPr>
        <w:t xml:space="preserve"> </w:t>
      </w:r>
    </w:p>
    <w:p w14:paraId="22BFAEAD">
      <w:pPr>
        <w:pStyle w:val="4"/>
        <w:keepNext w:val="0"/>
        <w:keepLines w:val="0"/>
        <w:widowControl/>
        <w:suppressLineNumbers w:val="0"/>
        <w:spacing w:before="0" w:beforeAutospacing="1" w:after="0" w:afterAutospacing="1" w:line="27" w:lineRule="atLeast"/>
        <w:ind w:right="0"/>
        <w:rPr>
          <w:highlight w:val="none"/>
        </w:rPr>
      </w:pPr>
      <w:r>
        <w:rPr>
          <w:b/>
          <w:bCs/>
          <w:color w:val="000000"/>
          <w:sz w:val="24"/>
          <w:szCs w:val="24"/>
          <w:highlight w:val="none"/>
        </w:rPr>
        <w:t>出口营销（p6）</w:t>
      </w:r>
      <w:r>
        <w:rPr>
          <w:color w:val="000000"/>
          <w:sz w:val="24"/>
          <w:szCs w:val="24"/>
          <w:highlight w:val="none"/>
        </w:rPr>
        <w:t xml:space="preserve">： </w:t>
      </w:r>
    </w:p>
    <w:p w14:paraId="6A583399">
      <w:pPr>
        <w:pStyle w:val="4"/>
        <w:keepNext w:val="0"/>
        <w:keepLines w:val="0"/>
        <w:widowControl/>
        <w:suppressLineNumbers w:val="0"/>
        <w:spacing w:before="0" w:beforeAutospacing="1" w:after="0" w:afterAutospacing="1" w:line="27" w:lineRule="atLeast"/>
        <w:ind w:left="0" w:right="0" w:firstLine="480"/>
        <w:rPr>
          <w:highlight w:val="none"/>
        </w:rPr>
      </w:pPr>
      <w:r>
        <w:rPr>
          <w:color w:val="000000"/>
          <w:sz w:val="24"/>
          <w:szCs w:val="24"/>
          <w:highlight w:val="none"/>
        </w:rPr>
        <w:t>出口营销是指企业将国内生产的一部分剩余产品销往国外，此时，企业的市场重心是国内市场，仅把海外市场作为国内市场的补充。出口产品的行为也带有偶然性和辅助性，企业并没有真正将全球市场作为一个整体以制定相应的营销战略和策略。出口营销是国际市场营销初级阶段的表现形式。</w:t>
      </w:r>
    </w:p>
    <w:p w14:paraId="26F8A7D4">
      <w:pPr>
        <w:pStyle w:val="4"/>
        <w:keepNext w:val="0"/>
        <w:keepLines w:val="0"/>
        <w:widowControl/>
        <w:suppressLineNumbers w:val="0"/>
        <w:spacing w:before="0" w:beforeAutospacing="1" w:after="0" w:afterAutospacing="1" w:line="27" w:lineRule="atLeast"/>
        <w:ind w:right="0"/>
        <w:rPr>
          <w:highlight w:val="none"/>
        </w:rPr>
      </w:pPr>
      <w:r>
        <w:rPr>
          <w:b/>
          <w:bCs/>
          <w:sz w:val="24"/>
          <w:szCs w:val="24"/>
          <w:highlight w:val="none"/>
        </w:rPr>
        <w:t>反倾销</w:t>
      </w:r>
      <w:r>
        <w:rPr>
          <w:b/>
          <w:bCs/>
          <w:color w:val="000000"/>
          <w:sz w:val="24"/>
          <w:szCs w:val="24"/>
          <w:highlight w:val="none"/>
        </w:rPr>
        <w:t>（p188）：</w:t>
      </w:r>
      <w:r>
        <w:rPr>
          <w:highlight w:val="none"/>
        </w:rPr>
        <w:t xml:space="preserve"> </w:t>
      </w:r>
    </w:p>
    <w:p w14:paraId="39225B90">
      <w:pPr>
        <w:pStyle w:val="4"/>
        <w:keepNext w:val="0"/>
        <w:keepLines w:val="0"/>
        <w:widowControl/>
        <w:suppressLineNumbers w:val="0"/>
        <w:spacing w:before="0" w:beforeAutospacing="1" w:after="0" w:afterAutospacing="1" w:line="27" w:lineRule="atLeast"/>
        <w:ind w:left="0" w:right="0" w:firstLine="480"/>
        <w:rPr>
          <w:highlight w:val="none"/>
        </w:rPr>
      </w:pPr>
      <w:r>
        <w:rPr>
          <w:color w:val="000000"/>
          <w:sz w:val="24"/>
          <w:szCs w:val="24"/>
          <w:highlight w:val="none"/>
        </w:rPr>
        <w:t>受到倾销商品损害的进口国为此采取的抵制措施称之为反倾销。</w:t>
      </w:r>
    </w:p>
    <w:p w14:paraId="0C8C244A">
      <w:pPr>
        <w:pStyle w:val="4"/>
        <w:keepNext w:val="0"/>
        <w:keepLines w:val="0"/>
        <w:widowControl/>
        <w:suppressLineNumbers w:val="0"/>
        <w:spacing w:before="0" w:beforeAutospacing="1" w:after="0" w:afterAutospacing="1" w:line="400" w:lineRule="atLeast"/>
        <w:ind w:left="0" w:right="0"/>
        <w:rPr>
          <w:highlight w:val="none"/>
        </w:rPr>
      </w:pPr>
      <w:r>
        <w:rPr>
          <w:b/>
          <w:bCs/>
          <w:color w:val="000000"/>
          <w:sz w:val="24"/>
          <w:szCs w:val="24"/>
          <w:highlight w:val="none"/>
        </w:rPr>
        <w:t>国际市场分销系统（p156）</w:t>
      </w:r>
      <w:r>
        <w:rPr>
          <w:color w:val="000000"/>
          <w:sz w:val="24"/>
          <w:szCs w:val="24"/>
          <w:highlight w:val="none"/>
        </w:rPr>
        <w:t xml:space="preserve">： </w:t>
      </w:r>
    </w:p>
    <w:p w14:paraId="0E38CBFC">
      <w:pPr>
        <w:pStyle w:val="4"/>
        <w:keepNext w:val="0"/>
        <w:keepLines w:val="0"/>
        <w:widowControl/>
        <w:suppressLineNumbers w:val="0"/>
        <w:spacing w:before="0" w:beforeAutospacing="1" w:after="0" w:afterAutospacing="1" w:line="400" w:lineRule="atLeast"/>
        <w:ind w:left="0" w:right="0" w:firstLine="480"/>
        <w:rPr>
          <w:highlight w:val="none"/>
        </w:rPr>
      </w:pPr>
      <w:r>
        <w:rPr>
          <w:color w:val="000000"/>
          <w:sz w:val="24"/>
          <w:szCs w:val="24"/>
          <w:highlight w:val="none"/>
        </w:rPr>
        <w:t>国际市场分销系统由营销中介机构以及企业和消费者或用户构成，并涵盖了国际商流和物流的整个过程及其影响因素。在国际市场分销系统中，一般具有三个基本因素：制造商、中间商和最终消费者。制造商和消费者分别居于分销系统的起点和终点。</w:t>
      </w:r>
      <w:r>
        <w:rPr>
          <w:highlight w:val="none"/>
        </w:rPr>
        <w:t xml:space="preserve"> </w:t>
      </w:r>
    </w:p>
    <w:p w14:paraId="04E4B1FD">
      <w:pPr>
        <w:pStyle w:val="4"/>
        <w:keepNext w:val="0"/>
        <w:keepLines w:val="0"/>
        <w:widowControl/>
        <w:suppressLineNumbers w:val="0"/>
        <w:spacing w:before="0" w:beforeAutospacing="1" w:after="0" w:afterAutospacing="1" w:line="400" w:lineRule="atLeast"/>
        <w:ind w:left="0" w:right="0"/>
        <w:rPr>
          <w:highlight w:val="none"/>
        </w:rPr>
      </w:pPr>
      <w:r>
        <w:rPr>
          <w:b/>
          <w:bCs/>
          <w:color w:val="000000"/>
          <w:sz w:val="24"/>
          <w:szCs w:val="24"/>
          <w:highlight w:val="none"/>
        </w:rPr>
        <w:t>转移价格（p193）:</w:t>
      </w:r>
      <w:r>
        <w:rPr>
          <w:highlight w:val="none"/>
        </w:rPr>
        <w:t xml:space="preserve"> </w:t>
      </w:r>
    </w:p>
    <w:p w14:paraId="03444986">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转移价格也称内部转让价格，它是指跨国公司内部母公司与子公司，子公司</w:t>
      </w:r>
      <w:r>
        <w:rPr>
          <w:highlight w:val="none"/>
        </w:rPr>
        <w:t xml:space="preserve"> </w:t>
      </w:r>
    </w:p>
    <w:p w14:paraId="5344F110">
      <w:pPr>
        <w:pStyle w:val="4"/>
        <w:keepNext w:val="0"/>
        <w:keepLines w:val="0"/>
        <w:widowControl/>
        <w:suppressLineNumbers w:val="0"/>
        <w:spacing w:before="0" w:beforeAutospacing="1" w:after="0" w:afterAutospacing="1" w:line="400" w:lineRule="atLeast"/>
        <w:ind w:left="0" w:right="0"/>
        <w:rPr>
          <w:highlight w:val="none"/>
        </w:rPr>
      </w:pPr>
      <w:r>
        <w:rPr>
          <w:sz w:val="24"/>
          <w:szCs w:val="24"/>
          <w:highlight w:val="none"/>
        </w:rPr>
        <w:t>相互之间进行内部贸易使用的约定价格。这种价格的最大特征是在一定程度上不受市场供求关系的影响，也不是买卖双方在公开市场上按“独立竞争”原则确定的价格，而是根据跨国公司的全球战略目标和谋求最大限度利润为目的，由公司上层决策人员确定的内部结算价格。</w:t>
      </w:r>
      <w:r>
        <w:rPr>
          <w:highlight w:val="none"/>
        </w:rPr>
        <w:t xml:space="preserve"> </w:t>
      </w:r>
    </w:p>
    <w:p w14:paraId="22823E90">
      <w:pPr>
        <w:pStyle w:val="4"/>
        <w:keepNext w:val="0"/>
        <w:keepLines w:val="0"/>
        <w:widowControl/>
        <w:suppressLineNumbers w:val="0"/>
        <w:spacing w:before="0" w:beforeAutospacing="1" w:after="0" w:afterAutospacing="1" w:line="400" w:lineRule="atLeast"/>
        <w:ind w:left="0" w:right="0"/>
        <w:rPr>
          <w:highlight w:val="none"/>
        </w:rPr>
      </w:pPr>
      <w:r>
        <w:rPr>
          <w:b/>
          <w:bCs/>
          <w:sz w:val="24"/>
          <w:szCs w:val="24"/>
          <w:highlight w:val="none"/>
        </w:rPr>
        <w:t>国际市场营销信息系统（p83）</w:t>
      </w:r>
      <w:r>
        <w:rPr>
          <w:highlight w:val="none"/>
        </w:rPr>
        <w:t xml:space="preserve"> </w:t>
      </w:r>
    </w:p>
    <w:p w14:paraId="1707EB0B">
      <w:pPr>
        <w:pStyle w:val="4"/>
        <w:keepNext w:val="0"/>
        <w:keepLines w:val="0"/>
        <w:widowControl/>
        <w:suppressLineNumbers w:val="0"/>
        <w:spacing w:before="0" w:beforeAutospacing="1" w:after="0" w:afterAutospacing="1" w:line="400" w:lineRule="atLeast"/>
        <w:ind w:left="0" w:right="0" w:firstLine="360"/>
        <w:rPr>
          <w:highlight w:val="none"/>
        </w:rPr>
      </w:pPr>
      <w:r>
        <w:rPr>
          <w:sz w:val="24"/>
          <w:szCs w:val="24"/>
          <w:highlight w:val="none"/>
        </w:rPr>
        <w:t>国际市场营销信息系统就是为搜集、整理、贮存、检索和分析信息并据以制定国际市场营销决策而设计的一个持续的系统</w:t>
      </w:r>
      <w:r>
        <w:rPr>
          <w:rFonts w:hint="eastAsia"/>
          <w:sz w:val="24"/>
          <w:szCs w:val="24"/>
          <w:highlight w:val="none"/>
          <w:lang w:eastAsia="zh-CN"/>
        </w:rPr>
        <w:t>。</w:t>
      </w:r>
      <w:r>
        <w:rPr>
          <w:sz w:val="24"/>
          <w:szCs w:val="24"/>
          <w:highlight w:val="none"/>
        </w:rPr>
        <w:t>这个系统的功能是：（1）向各业务部门提供准确的业务信息；（2）向业务职能管理部门按时间、按地点提供管理信息；（3）为企业决策部门提供识别、选择和解决营销问题或机会进行决策的容易理解和使用的信息。</w:t>
      </w:r>
    </w:p>
    <w:p w14:paraId="712D2098">
      <w:pPr>
        <w:pStyle w:val="4"/>
        <w:keepNext w:val="0"/>
        <w:keepLines w:val="0"/>
        <w:widowControl/>
        <w:suppressLineNumbers w:val="0"/>
        <w:spacing w:before="0" w:beforeAutospacing="1" w:after="0" w:afterAutospacing="1" w:line="400" w:lineRule="atLeast"/>
        <w:ind w:left="0" w:right="0"/>
        <w:rPr>
          <w:highlight w:val="none"/>
        </w:rPr>
      </w:pPr>
      <w:r>
        <w:rPr>
          <w:b/>
          <w:bCs/>
          <w:sz w:val="24"/>
          <w:szCs w:val="24"/>
          <w:highlight w:val="none"/>
        </w:rPr>
        <w:t>国际市场直复营销（p216）:</w:t>
      </w:r>
      <w:r>
        <w:rPr>
          <w:highlight w:val="none"/>
        </w:rPr>
        <w:t xml:space="preserve"> </w:t>
      </w:r>
    </w:p>
    <w:p w14:paraId="3AFAB036">
      <w:pPr>
        <w:pStyle w:val="4"/>
        <w:keepNext w:val="0"/>
        <w:keepLines w:val="0"/>
        <w:widowControl/>
        <w:suppressLineNumbers w:val="0"/>
        <w:spacing w:before="0" w:beforeAutospacing="1" w:after="0" w:afterAutospacing="1" w:line="400" w:lineRule="atLeast"/>
        <w:ind w:left="0" w:right="0" w:firstLine="480"/>
        <w:rPr>
          <w:sz w:val="24"/>
          <w:szCs w:val="24"/>
          <w:highlight w:val="none"/>
        </w:rPr>
      </w:pPr>
      <w:r>
        <w:rPr>
          <w:sz w:val="24"/>
          <w:szCs w:val="24"/>
          <w:highlight w:val="none"/>
        </w:rPr>
        <w:t xml:space="preserve">直复营销(direct marketing)又译作“直接营销”，也被称为直接订货营销(direct-order marketing)。它是一种将广告活动和销售活动统一在一起的营销方式。其做法是营销者通过一定的媒体把相关的商业广告信息传达给可能对其有兴趣的消费者，并提供一种回复工具（如免费电话、订单等）方便客订货。 </w:t>
      </w:r>
    </w:p>
    <w:p w14:paraId="39319DD6">
      <w:pPr>
        <w:pStyle w:val="4"/>
        <w:keepNext w:val="0"/>
        <w:keepLines w:val="0"/>
        <w:widowControl/>
        <w:suppressLineNumbers w:val="0"/>
        <w:spacing w:before="0" w:beforeAutospacing="1" w:after="0" w:afterAutospacing="1" w:line="400" w:lineRule="atLeast"/>
        <w:ind w:left="0" w:right="0"/>
        <w:rPr>
          <w:b/>
          <w:bCs/>
          <w:sz w:val="24"/>
          <w:szCs w:val="24"/>
          <w:highlight w:val="none"/>
        </w:rPr>
      </w:pPr>
      <w:r>
        <w:rPr>
          <w:rFonts w:hint="eastAsia"/>
          <w:b/>
          <w:bCs/>
          <w:sz w:val="24"/>
          <w:szCs w:val="24"/>
          <w:highlight w:val="none"/>
        </w:rPr>
        <w:t>属地化定位</w:t>
      </w:r>
      <w:r>
        <w:rPr>
          <w:b/>
          <w:bCs/>
          <w:sz w:val="24"/>
          <w:szCs w:val="24"/>
          <w:highlight w:val="none"/>
        </w:rPr>
        <w:t xml:space="preserve"> </w:t>
      </w:r>
    </w:p>
    <w:p w14:paraId="0EFC6BD3">
      <w:pPr>
        <w:spacing w:line="360" w:lineRule="auto"/>
        <w:rPr>
          <w:rFonts w:hint="eastAsia" w:ascii="宋体" w:hAnsi="宋体"/>
          <w:szCs w:val="21"/>
          <w:highlight w:val="none"/>
        </w:rPr>
      </w:pPr>
      <w:r>
        <w:rPr>
          <w:rFonts w:hint="eastAsia" w:ascii="宋体" w:hAnsi="宋体"/>
          <w:szCs w:val="21"/>
          <w:highlight w:val="none"/>
        </w:rPr>
        <w:t>企业依不同国家地区特点对产品等本地化调整，增强在当地市场适应性与竞争力的策略。</w:t>
      </w:r>
    </w:p>
    <w:p w14:paraId="12203CE5">
      <w:pPr>
        <w:keepNext w:val="0"/>
        <w:keepLines w:val="0"/>
        <w:widowControl/>
        <w:suppressLineNumbers w:val="0"/>
        <w:jc w:val="left"/>
        <w:rPr>
          <w:highlight w:val="none"/>
        </w:rPr>
      </w:pPr>
    </w:p>
    <w:p w14:paraId="2F1A3D47">
      <w:pPr>
        <w:pStyle w:val="4"/>
        <w:keepNext w:val="0"/>
        <w:keepLines w:val="0"/>
        <w:widowControl/>
        <w:suppressLineNumbers w:val="0"/>
        <w:spacing w:before="0" w:beforeAutospacing="1" w:after="0" w:afterAutospacing="1" w:line="400" w:lineRule="atLeast"/>
        <w:ind w:left="0" w:right="0"/>
        <w:rPr>
          <w:rFonts w:hint="eastAsia"/>
          <w:b/>
          <w:bCs/>
          <w:sz w:val="24"/>
          <w:szCs w:val="24"/>
          <w:highlight w:val="none"/>
        </w:rPr>
      </w:pPr>
      <w:bookmarkStart w:id="25" w:name="_Hlk69723701"/>
      <w:r>
        <w:rPr>
          <w:rFonts w:hint="eastAsia"/>
          <w:b/>
          <w:bCs/>
          <w:sz w:val="24"/>
          <w:szCs w:val="24"/>
          <w:highlight w:val="none"/>
        </w:rPr>
        <w:t>全球市场微观细分</w:t>
      </w:r>
    </w:p>
    <w:bookmarkEnd w:id="25"/>
    <w:p w14:paraId="5EF2A27D">
      <w:pPr>
        <w:spacing w:line="360" w:lineRule="auto"/>
        <w:rPr>
          <w:rFonts w:hint="eastAsia" w:ascii="宋体" w:hAnsi="宋体"/>
          <w:szCs w:val="21"/>
          <w:highlight w:val="none"/>
        </w:rPr>
      </w:pPr>
      <w:r>
        <w:rPr>
          <w:rFonts w:hint="eastAsia" w:ascii="宋体" w:hAnsi="宋体"/>
          <w:szCs w:val="21"/>
          <w:highlight w:val="none"/>
        </w:rPr>
        <w:t>在全球范围按消费者具体特征细分市场，助企业精准满足不同群体需求与制定战略。</w:t>
      </w:r>
    </w:p>
    <w:p w14:paraId="34FAE61F">
      <w:pPr>
        <w:pStyle w:val="4"/>
        <w:keepNext w:val="0"/>
        <w:keepLines w:val="0"/>
        <w:widowControl/>
        <w:suppressLineNumbers w:val="0"/>
        <w:spacing w:before="0" w:beforeAutospacing="1" w:after="0" w:afterAutospacing="1" w:line="27" w:lineRule="atLeast"/>
        <w:ind w:left="0" w:right="0"/>
        <w:rPr>
          <w:highlight w:val="none"/>
        </w:rPr>
      </w:pPr>
    </w:p>
    <w:p w14:paraId="63EB6D45">
      <w:pPr>
        <w:pStyle w:val="4"/>
        <w:keepNext w:val="0"/>
        <w:keepLines w:val="0"/>
        <w:widowControl/>
        <w:suppressLineNumbers w:val="0"/>
        <w:spacing w:before="0" w:beforeAutospacing="1" w:after="0" w:afterAutospacing="1" w:line="27" w:lineRule="atLeast"/>
        <w:ind w:left="1928" w:right="0" w:hanging="1928"/>
        <w:rPr>
          <w:highlight w:val="none"/>
        </w:rPr>
      </w:pPr>
      <w:r>
        <w:rPr>
          <w:b/>
          <w:bCs/>
          <w:sz w:val="24"/>
          <w:szCs w:val="24"/>
          <w:highlight w:val="none"/>
        </w:rPr>
        <w:t>二、填空题</w:t>
      </w:r>
      <w:r>
        <w:rPr>
          <w:highlight w:val="none"/>
        </w:rPr>
        <w:t xml:space="preserve"> </w:t>
      </w:r>
    </w:p>
    <w:p w14:paraId="4A2DEEBD">
      <w:pPr>
        <w:pStyle w:val="4"/>
        <w:keepNext w:val="0"/>
        <w:keepLines w:val="0"/>
        <w:widowControl/>
        <w:suppressLineNumbers w:val="0"/>
        <w:spacing w:before="0" w:beforeAutospacing="1" w:after="0" w:afterAutospacing="1" w:line="27" w:lineRule="atLeast"/>
        <w:ind w:left="0" w:right="0"/>
        <w:rPr>
          <w:highlight w:val="none"/>
        </w:rPr>
      </w:pPr>
      <w:r>
        <w:rPr>
          <w:sz w:val="24"/>
          <w:szCs w:val="24"/>
          <w:highlight w:val="none"/>
        </w:rPr>
        <w:t>1、</w:t>
      </w:r>
      <w:r>
        <w:rPr>
          <w:sz w:val="24"/>
          <w:szCs w:val="24"/>
          <w:highlight w:val="none"/>
          <w:u w:val="single"/>
        </w:rPr>
        <w:t>国际市场宏观营销环境调研、国际目标市场消费者调研、国际市场营销组合调研</w:t>
      </w:r>
      <w:r>
        <w:rPr>
          <w:sz w:val="24"/>
          <w:szCs w:val="24"/>
          <w:highlight w:val="none"/>
        </w:rPr>
        <w:t>。（P90）</w:t>
      </w:r>
      <w:r>
        <w:rPr>
          <w:highlight w:val="none"/>
        </w:rPr>
        <w:t xml:space="preserve"> </w:t>
      </w:r>
    </w:p>
    <w:p w14:paraId="198A8862">
      <w:pPr>
        <w:pStyle w:val="4"/>
        <w:keepNext w:val="0"/>
        <w:keepLines w:val="0"/>
        <w:widowControl/>
        <w:suppressLineNumbers w:val="0"/>
        <w:spacing w:before="0" w:beforeAutospacing="1" w:after="0" w:afterAutospacing="1" w:line="27" w:lineRule="atLeast"/>
        <w:ind w:left="1920" w:right="0" w:hanging="1920"/>
        <w:rPr>
          <w:highlight w:val="none"/>
        </w:rPr>
      </w:pPr>
      <w:r>
        <w:rPr>
          <w:sz w:val="24"/>
          <w:szCs w:val="24"/>
          <w:highlight w:val="none"/>
        </w:rPr>
        <w:t>2、</w:t>
      </w:r>
      <w:r>
        <w:rPr>
          <w:sz w:val="24"/>
          <w:szCs w:val="24"/>
          <w:highlight w:val="none"/>
          <w:u w:val="single"/>
        </w:rPr>
        <w:t>成本</w:t>
      </w:r>
      <w:r>
        <w:rPr>
          <w:sz w:val="24"/>
          <w:szCs w:val="24"/>
          <w:highlight w:val="none"/>
        </w:rPr>
        <w:t>、</w:t>
      </w:r>
      <w:r>
        <w:rPr>
          <w:sz w:val="24"/>
          <w:szCs w:val="24"/>
          <w:highlight w:val="none"/>
          <w:u w:val="single"/>
        </w:rPr>
        <w:t xml:space="preserve">资本 </w:t>
      </w:r>
      <w:r>
        <w:rPr>
          <w:sz w:val="24"/>
          <w:szCs w:val="24"/>
          <w:highlight w:val="none"/>
        </w:rPr>
        <w:t>、</w:t>
      </w:r>
      <w:r>
        <w:rPr>
          <w:sz w:val="24"/>
          <w:szCs w:val="24"/>
          <w:highlight w:val="none"/>
          <w:u w:val="single"/>
        </w:rPr>
        <w:t>控制</w:t>
      </w:r>
      <w:r>
        <w:rPr>
          <w:sz w:val="24"/>
          <w:szCs w:val="24"/>
          <w:highlight w:val="none"/>
        </w:rPr>
        <w:t>、</w:t>
      </w:r>
      <w:r>
        <w:rPr>
          <w:sz w:val="24"/>
          <w:szCs w:val="24"/>
          <w:highlight w:val="none"/>
          <w:u w:val="single"/>
        </w:rPr>
        <w:t>覆盖</w:t>
      </w:r>
      <w:r>
        <w:rPr>
          <w:sz w:val="24"/>
          <w:szCs w:val="24"/>
          <w:highlight w:val="none"/>
        </w:rPr>
        <w:t>、</w:t>
      </w:r>
      <w:r>
        <w:rPr>
          <w:sz w:val="24"/>
          <w:szCs w:val="24"/>
          <w:highlight w:val="none"/>
          <w:u w:val="single"/>
        </w:rPr>
        <w:t>特征</w:t>
      </w:r>
      <w:r>
        <w:rPr>
          <w:sz w:val="24"/>
          <w:szCs w:val="24"/>
          <w:highlight w:val="none"/>
        </w:rPr>
        <w:t>、</w:t>
      </w:r>
      <w:r>
        <w:rPr>
          <w:sz w:val="24"/>
          <w:szCs w:val="24"/>
          <w:highlight w:val="none"/>
          <w:u w:val="single"/>
        </w:rPr>
        <w:t>连续性</w:t>
      </w:r>
      <w:r>
        <w:rPr>
          <w:sz w:val="24"/>
          <w:szCs w:val="24"/>
          <w:highlight w:val="none"/>
        </w:rPr>
        <w:t>。（p163）</w:t>
      </w:r>
      <w:r>
        <w:rPr>
          <w:highlight w:val="none"/>
        </w:rPr>
        <w:t xml:space="preserve"> </w:t>
      </w:r>
    </w:p>
    <w:p w14:paraId="51131F81">
      <w:pPr>
        <w:pStyle w:val="4"/>
        <w:keepNext w:val="0"/>
        <w:keepLines w:val="0"/>
        <w:widowControl/>
        <w:suppressLineNumbers w:val="0"/>
        <w:spacing w:before="0" w:beforeAutospacing="1" w:after="0" w:afterAutospacing="1" w:line="27" w:lineRule="atLeast"/>
        <w:ind w:left="760" w:right="0"/>
        <w:rPr>
          <w:highlight w:val="none"/>
        </w:rPr>
      </w:pPr>
      <w:r>
        <w:rPr>
          <w:sz w:val="24"/>
          <w:szCs w:val="24"/>
          <w:highlight w:val="none"/>
          <w:u w:val="single"/>
        </w:rPr>
        <w:t>互动性</w:t>
      </w:r>
      <w:r>
        <w:rPr>
          <w:sz w:val="24"/>
          <w:szCs w:val="24"/>
          <w:highlight w:val="none"/>
        </w:rPr>
        <w:t>、</w:t>
      </w:r>
      <w:r>
        <w:rPr>
          <w:sz w:val="24"/>
          <w:szCs w:val="24"/>
          <w:highlight w:val="none"/>
          <w:u w:val="single"/>
        </w:rPr>
        <w:t>针对性</w:t>
      </w:r>
      <w:r>
        <w:rPr>
          <w:sz w:val="24"/>
          <w:szCs w:val="24"/>
          <w:highlight w:val="none"/>
        </w:rPr>
        <w:t>、</w:t>
      </w:r>
      <w:r>
        <w:rPr>
          <w:sz w:val="24"/>
          <w:szCs w:val="24"/>
          <w:highlight w:val="none"/>
          <w:u w:val="single"/>
        </w:rPr>
        <w:t>效果可测性</w:t>
      </w:r>
      <w:r>
        <w:rPr>
          <w:sz w:val="24"/>
          <w:szCs w:val="24"/>
          <w:highlight w:val="none"/>
        </w:rPr>
        <w:t>、</w:t>
      </w:r>
      <w:r>
        <w:rPr>
          <w:sz w:val="24"/>
          <w:szCs w:val="24"/>
          <w:highlight w:val="none"/>
          <w:u w:val="single"/>
        </w:rPr>
        <w:t>通路的广泛性</w:t>
      </w:r>
      <w:r>
        <w:rPr>
          <w:sz w:val="24"/>
          <w:szCs w:val="24"/>
          <w:highlight w:val="none"/>
        </w:rPr>
        <w:t>。（p216）</w:t>
      </w:r>
      <w:r>
        <w:rPr>
          <w:highlight w:val="none"/>
        </w:rPr>
        <w:t xml:space="preserve"> </w:t>
      </w:r>
    </w:p>
    <w:p w14:paraId="5861B7EA">
      <w:pPr>
        <w:pStyle w:val="4"/>
        <w:keepNext w:val="0"/>
        <w:keepLines w:val="0"/>
        <w:widowControl/>
        <w:suppressLineNumbers w:val="0"/>
        <w:spacing w:before="0" w:beforeAutospacing="1" w:after="0" w:afterAutospacing="1" w:line="27" w:lineRule="atLeast"/>
        <w:ind w:left="1920" w:right="0" w:hanging="1920"/>
        <w:rPr>
          <w:highlight w:val="none"/>
        </w:rPr>
      </w:pPr>
      <w:r>
        <w:rPr>
          <w:sz w:val="24"/>
          <w:szCs w:val="24"/>
          <w:highlight w:val="none"/>
        </w:rPr>
        <w:t>4、</w:t>
      </w:r>
      <w:r>
        <w:rPr>
          <w:sz w:val="24"/>
          <w:szCs w:val="24"/>
          <w:highlight w:val="none"/>
          <w:u w:val="single"/>
        </w:rPr>
        <w:t>年度营销计划控制</w:t>
      </w:r>
      <w:r>
        <w:rPr>
          <w:sz w:val="24"/>
          <w:szCs w:val="24"/>
          <w:highlight w:val="none"/>
        </w:rPr>
        <w:t>、</w:t>
      </w:r>
      <w:r>
        <w:rPr>
          <w:sz w:val="24"/>
          <w:szCs w:val="24"/>
          <w:highlight w:val="none"/>
          <w:u w:val="single"/>
        </w:rPr>
        <w:t>盈利能力控制</w:t>
      </w:r>
      <w:r>
        <w:rPr>
          <w:sz w:val="24"/>
          <w:szCs w:val="24"/>
          <w:highlight w:val="none"/>
        </w:rPr>
        <w:t>、</w:t>
      </w:r>
      <w:r>
        <w:rPr>
          <w:sz w:val="24"/>
          <w:szCs w:val="24"/>
          <w:highlight w:val="none"/>
          <w:u w:val="single"/>
        </w:rPr>
        <w:t>效率控制</w:t>
      </w:r>
      <w:r>
        <w:rPr>
          <w:sz w:val="24"/>
          <w:szCs w:val="24"/>
          <w:highlight w:val="none"/>
        </w:rPr>
        <w:t>、</w:t>
      </w:r>
      <w:r>
        <w:rPr>
          <w:sz w:val="24"/>
          <w:szCs w:val="24"/>
          <w:highlight w:val="none"/>
          <w:u w:val="single"/>
        </w:rPr>
        <w:t>战略控制</w:t>
      </w:r>
      <w:r>
        <w:rPr>
          <w:sz w:val="24"/>
          <w:szCs w:val="24"/>
          <w:highlight w:val="none"/>
        </w:rPr>
        <w:t>。（p235）</w:t>
      </w:r>
      <w:r>
        <w:rPr>
          <w:highlight w:val="none"/>
        </w:rPr>
        <w:t xml:space="preserve"> </w:t>
      </w:r>
    </w:p>
    <w:p w14:paraId="59E50703">
      <w:pPr>
        <w:pStyle w:val="4"/>
        <w:keepNext w:val="0"/>
        <w:keepLines w:val="0"/>
        <w:widowControl/>
        <w:suppressLineNumbers w:val="0"/>
        <w:spacing w:before="0" w:beforeAutospacing="1" w:after="0" w:afterAutospacing="1" w:line="27" w:lineRule="atLeast"/>
        <w:ind w:left="1920" w:right="0" w:hanging="1920"/>
        <w:rPr>
          <w:highlight w:val="none"/>
        </w:rPr>
      </w:pPr>
      <w:r>
        <w:rPr>
          <w:sz w:val="24"/>
          <w:szCs w:val="24"/>
          <w:highlight w:val="none"/>
        </w:rPr>
        <w:t>5、</w:t>
      </w:r>
      <w:r>
        <w:rPr>
          <w:sz w:val="24"/>
          <w:szCs w:val="24"/>
          <w:highlight w:val="none"/>
          <w:u w:val="single"/>
        </w:rPr>
        <w:t>人员、有形展示、过程</w:t>
      </w:r>
      <w:r>
        <w:rPr>
          <w:sz w:val="24"/>
          <w:szCs w:val="24"/>
          <w:highlight w:val="none"/>
        </w:rPr>
        <w:t>。（p252）</w:t>
      </w:r>
      <w:r>
        <w:rPr>
          <w:highlight w:val="none"/>
        </w:rPr>
        <w:t xml:space="preserve"> </w:t>
      </w:r>
    </w:p>
    <w:p w14:paraId="134023BA">
      <w:pPr>
        <w:pStyle w:val="4"/>
        <w:keepNext w:val="0"/>
        <w:keepLines w:val="0"/>
        <w:widowControl/>
        <w:suppressLineNumbers w:val="0"/>
        <w:spacing w:before="0" w:beforeAutospacing="1" w:after="0" w:afterAutospacing="1" w:line="400" w:lineRule="atLeast"/>
        <w:ind w:left="1920" w:right="0" w:hanging="1920"/>
        <w:rPr>
          <w:highlight w:val="none"/>
        </w:rPr>
      </w:pPr>
      <w:r>
        <w:rPr>
          <w:sz w:val="24"/>
          <w:szCs w:val="24"/>
          <w:highlight w:val="none"/>
        </w:rPr>
        <w:t>6、</w:t>
      </w:r>
      <w:r>
        <w:rPr>
          <w:sz w:val="24"/>
          <w:szCs w:val="24"/>
          <w:highlight w:val="none"/>
          <w:u w:val="single"/>
        </w:rPr>
        <w:t>经济结构、经济发展阶段、国民的收入水平、基础设施特征。（p29）</w:t>
      </w:r>
      <w:r>
        <w:rPr>
          <w:highlight w:val="none"/>
        </w:rPr>
        <w:t xml:space="preserve"> </w:t>
      </w:r>
    </w:p>
    <w:p w14:paraId="3E61B846">
      <w:pPr>
        <w:pStyle w:val="4"/>
        <w:keepNext w:val="0"/>
        <w:keepLines w:val="0"/>
        <w:widowControl/>
        <w:suppressLineNumbers w:val="0"/>
        <w:spacing w:before="0" w:beforeAutospacing="1" w:after="0" w:afterAutospacing="1" w:line="27" w:lineRule="atLeast"/>
        <w:ind w:left="0" w:right="0"/>
        <w:rPr>
          <w:highlight w:val="none"/>
        </w:rPr>
      </w:pPr>
      <w:r>
        <w:rPr>
          <w:sz w:val="24"/>
          <w:szCs w:val="24"/>
          <w:highlight w:val="none"/>
        </w:rPr>
        <w:t>7、</w:t>
      </w:r>
      <w:r>
        <w:rPr>
          <w:sz w:val="24"/>
          <w:szCs w:val="24"/>
          <w:highlight w:val="none"/>
          <w:u w:val="single"/>
        </w:rPr>
        <w:t>确定调研问题与目标</w:t>
      </w:r>
      <w:r>
        <w:rPr>
          <w:sz w:val="24"/>
          <w:szCs w:val="24"/>
          <w:highlight w:val="none"/>
        </w:rPr>
        <w:t>；</w:t>
      </w:r>
      <w:r>
        <w:rPr>
          <w:sz w:val="24"/>
          <w:szCs w:val="24"/>
          <w:highlight w:val="none"/>
          <w:u w:val="single"/>
        </w:rPr>
        <w:t>制订调研计划</w:t>
      </w:r>
      <w:r>
        <w:rPr>
          <w:sz w:val="24"/>
          <w:szCs w:val="24"/>
          <w:highlight w:val="none"/>
        </w:rPr>
        <w:t>；</w:t>
      </w:r>
      <w:r>
        <w:rPr>
          <w:sz w:val="24"/>
          <w:szCs w:val="24"/>
          <w:highlight w:val="none"/>
          <w:u w:val="single"/>
        </w:rPr>
        <w:t>搜集信息资料</w:t>
      </w:r>
      <w:r>
        <w:rPr>
          <w:sz w:val="24"/>
          <w:szCs w:val="24"/>
          <w:highlight w:val="none"/>
        </w:rPr>
        <w:t>；</w:t>
      </w:r>
      <w:r>
        <w:rPr>
          <w:sz w:val="24"/>
          <w:szCs w:val="24"/>
          <w:highlight w:val="none"/>
          <w:u w:val="single"/>
        </w:rPr>
        <w:t>资料整理与分析</w:t>
      </w:r>
      <w:r>
        <w:rPr>
          <w:sz w:val="24"/>
          <w:szCs w:val="24"/>
          <w:highlight w:val="none"/>
        </w:rPr>
        <w:t>；</w:t>
      </w:r>
      <w:r>
        <w:rPr>
          <w:sz w:val="24"/>
          <w:szCs w:val="24"/>
          <w:highlight w:val="none"/>
          <w:u w:val="single"/>
        </w:rPr>
        <w:t>提交调研报告</w:t>
      </w:r>
      <w:r>
        <w:rPr>
          <w:sz w:val="24"/>
          <w:szCs w:val="24"/>
          <w:highlight w:val="none"/>
        </w:rPr>
        <w:t>。（p93）</w:t>
      </w:r>
      <w:r>
        <w:rPr>
          <w:highlight w:val="none"/>
        </w:rPr>
        <w:t xml:space="preserve"> </w:t>
      </w:r>
    </w:p>
    <w:p w14:paraId="6C1C11AE">
      <w:pPr>
        <w:pStyle w:val="4"/>
        <w:keepNext w:val="0"/>
        <w:keepLines w:val="0"/>
        <w:widowControl/>
        <w:suppressLineNumbers w:val="0"/>
        <w:spacing w:before="0" w:beforeAutospacing="1" w:after="0" w:afterAutospacing="1" w:line="27" w:lineRule="atLeast"/>
        <w:ind w:left="0" w:right="0"/>
        <w:rPr>
          <w:highlight w:val="none"/>
        </w:rPr>
      </w:pPr>
      <w:r>
        <w:rPr>
          <w:sz w:val="24"/>
          <w:szCs w:val="24"/>
          <w:highlight w:val="none"/>
        </w:rPr>
        <w:t>8、</w:t>
      </w:r>
      <w:r>
        <w:rPr>
          <w:color w:val="000000"/>
          <w:sz w:val="24"/>
          <w:szCs w:val="24"/>
          <w:highlight w:val="none"/>
          <w:u w:val="single"/>
        </w:rPr>
        <w:t>利润目标、市场目标、竞争目标。</w:t>
      </w:r>
      <w:r>
        <w:rPr>
          <w:color w:val="000000"/>
          <w:sz w:val="24"/>
          <w:szCs w:val="24"/>
          <w:highlight w:val="none"/>
        </w:rPr>
        <w:t>（p181-182）</w:t>
      </w:r>
      <w:r>
        <w:rPr>
          <w:highlight w:val="none"/>
        </w:rPr>
        <w:t xml:space="preserve"> </w:t>
      </w:r>
    </w:p>
    <w:p w14:paraId="45926E3C">
      <w:pPr>
        <w:pStyle w:val="4"/>
        <w:keepNext w:val="0"/>
        <w:keepLines w:val="0"/>
        <w:widowControl/>
        <w:suppressLineNumbers w:val="0"/>
        <w:spacing w:before="0" w:beforeAutospacing="1" w:after="0" w:afterAutospacing="1" w:line="27" w:lineRule="atLeast"/>
        <w:ind w:left="0" w:right="0"/>
        <w:rPr>
          <w:highlight w:val="none"/>
        </w:rPr>
      </w:pPr>
      <w:r>
        <w:rPr>
          <w:color w:val="000000"/>
          <w:sz w:val="24"/>
          <w:szCs w:val="24"/>
          <w:highlight w:val="none"/>
          <w:u w:val="single"/>
        </w:rPr>
        <w:t>9、企业规模、地理位置、产品属性、外部环境、战略意图。(p228-229)</w:t>
      </w:r>
      <w:r>
        <w:rPr>
          <w:highlight w:val="none"/>
        </w:rPr>
        <w:t xml:space="preserve"> </w:t>
      </w:r>
    </w:p>
    <w:p w14:paraId="11D8A1A1">
      <w:pPr>
        <w:pStyle w:val="4"/>
        <w:keepNext w:val="0"/>
        <w:keepLines w:val="0"/>
        <w:widowControl/>
        <w:suppressLineNumbers w:val="0"/>
        <w:spacing w:before="0" w:beforeAutospacing="1" w:after="0" w:afterAutospacing="1" w:line="27" w:lineRule="atLeast"/>
        <w:ind w:left="0" w:right="0"/>
        <w:rPr>
          <w:highlight w:val="none"/>
        </w:rPr>
      </w:pPr>
      <w:r>
        <w:rPr>
          <w:color w:val="000000"/>
          <w:sz w:val="24"/>
          <w:szCs w:val="24"/>
          <w:highlight w:val="none"/>
        </w:rPr>
        <w:t>10、</w:t>
      </w:r>
      <w:r>
        <w:rPr>
          <w:color w:val="000000"/>
          <w:sz w:val="24"/>
          <w:szCs w:val="24"/>
          <w:highlight w:val="none"/>
          <w:u w:val="single"/>
        </w:rPr>
        <w:t>集权式、分权式、分工式。</w:t>
      </w:r>
      <w:r>
        <w:rPr>
          <w:color w:val="000000"/>
          <w:sz w:val="24"/>
          <w:szCs w:val="24"/>
          <w:highlight w:val="none"/>
        </w:rPr>
        <w:t>（p97）</w:t>
      </w:r>
      <w:r>
        <w:rPr>
          <w:highlight w:val="none"/>
        </w:rPr>
        <w:t xml:space="preserve"> </w:t>
      </w:r>
    </w:p>
    <w:p w14:paraId="29230CC4">
      <w:pPr>
        <w:pStyle w:val="4"/>
        <w:keepNext w:val="0"/>
        <w:keepLines w:val="0"/>
        <w:widowControl/>
        <w:suppressLineNumbers w:val="0"/>
        <w:spacing w:before="0" w:beforeAutospacing="1" w:after="0" w:afterAutospacing="1" w:line="27" w:lineRule="atLeast"/>
        <w:ind w:left="0" w:right="0"/>
        <w:rPr>
          <w:rFonts w:hint="default" w:eastAsia="宋体"/>
          <w:highlight w:val="none"/>
          <w:lang w:val="en-US" w:eastAsia="zh-CN"/>
        </w:rPr>
      </w:pPr>
      <w:r>
        <w:rPr>
          <w:rFonts w:hint="eastAsia"/>
          <w:highlight w:val="none"/>
          <w:lang w:val="en-US" w:eastAsia="zh-CN"/>
        </w:rPr>
        <w:t>11、</w:t>
      </w:r>
      <w:r>
        <w:rPr>
          <w:rFonts w:hint="eastAsia" w:ascii="宋体" w:hAnsi="宋体"/>
          <w:szCs w:val="21"/>
          <w:highlight w:val="none"/>
          <w:u w:val="single"/>
        </w:rPr>
        <w:t>自然资源</w:t>
      </w:r>
      <w:r>
        <w:rPr>
          <w:rFonts w:hint="eastAsia" w:ascii="宋体" w:hAnsi="宋体"/>
          <w:szCs w:val="21"/>
          <w:highlight w:val="none"/>
          <w:u w:val="none"/>
        </w:rPr>
        <w:t>、</w:t>
      </w:r>
      <w:r>
        <w:rPr>
          <w:rFonts w:hint="eastAsia" w:ascii="宋体" w:hAnsi="宋体"/>
          <w:szCs w:val="21"/>
          <w:highlight w:val="none"/>
          <w:u w:val="single"/>
        </w:rPr>
        <w:t>劳动力资源</w:t>
      </w:r>
      <w:r>
        <w:rPr>
          <w:rFonts w:hint="eastAsia" w:ascii="宋体" w:hAnsi="宋体"/>
          <w:szCs w:val="21"/>
          <w:highlight w:val="none"/>
          <w:u w:val="none"/>
        </w:rPr>
        <w:t>、</w:t>
      </w:r>
      <w:r>
        <w:rPr>
          <w:rFonts w:hint="eastAsia" w:ascii="宋体" w:hAnsi="宋体"/>
          <w:szCs w:val="21"/>
          <w:highlight w:val="none"/>
          <w:u w:val="single"/>
        </w:rPr>
        <w:t>资本资源</w:t>
      </w:r>
      <w:r>
        <w:rPr>
          <w:rFonts w:hint="eastAsia" w:ascii="宋体" w:hAnsi="宋体"/>
          <w:szCs w:val="21"/>
          <w:highlight w:val="none"/>
          <w:u w:val="none"/>
        </w:rPr>
        <w:t>和</w:t>
      </w:r>
      <w:r>
        <w:rPr>
          <w:rFonts w:hint="eastAsia" w:ascii="宋体" w:hAnsi="宋体"/>
          <w:szCs w:val="21"/>
          <w:highlight w:val="none"/>
          <w:u w:val="single"/>
        </w:rPr>
        <w:t>技术资源</w:t>
      </w:r>
    </w:p>
    <w:p w14:paraId="2ACF5C28">
      <w:pPr>
        <w:pStyle w:val="4"/>
        <w:keepNext w:val="0"/>
        <w:keepLines w:val="0"/>
        <w:widowControl/>
        <w:suppressLineNumbers w:val="0"/>
        <w:spacing w:before="0" w:beforeAutospacing="1" w:after="0" w:afterAutospacing="1" w:line="400" w:lineRule="atLeast"/>
        <w:ind w:left="0" w:right="0"/>
        <w:rPr>
          <w:highlight w:val="none"/>
        </w:rPr>
      </w:pPr>
      <w:r>
        <w:rPr>
          <w:b/>
          <w:bCs/>
          <w:sz w:val="24"/>
          <w:szCs w:val="24"/>
          <w:highlight w:val="none"/>
        </w:rPr>
        <w:t>三、简答题</w:t>
      </w:r>
      <w:r>
        <w:rPr>
          <w:highlight w:val="none"/>
        </w:rPr>
        <w:t xml:space="preserve"> </w:t>
      </w:r>
    </w:p>
    <w:p w14:paraId="7254DA07">
      <w:pPr>
        <w:pStyle w:val="4"/>
        <w:keepNext w:val="0"/>
        <w:keepLines w:val="0"/>
        <w:widowControl/>
        <w:suppressLineNumbers w:val="0"/>
        <w:spacing w:before="0" w:beforeAutospacing="1" w:after="0" w:afterAutospacing="1" w:line="400" w:lineRule="atLeast"/>
        <w:ind w:left="0" w:right="0"/>
        <w:rPr>
          <w:highlight w:val="none"/>
        </w:rPr>
      </w:pPr>
      <w:r>
        <w:rPr>
          <w:b/>
          <w:bCs/>
          <w:color w:val="000000"/>
          <w:sz w:val="24"/>
          <w:szCs w:val="24"/>
          <w:highlight w:val="none"/>
        </w:rPr>
        <w:t>1、企业选择国内外中间商的标准：（p168）</w:t>
      </w:r>
      <w:r>
        <w:rPr>
          <w:highlight w:val="none"/>
        </w:rPr>
        <w:t xml:space="preserve"> </w:t>
      </w:r>
    </w:p>
    <w:p w14:paraId="2F2D06D9">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企业应根据分销目标和自身条件制定选择中间商的适应标准。这些标准中有一些是容易定量化的，对各中间商可以进行分析与比较，有些标准则只能定性化。其主要标准有：</w:t>
      </w:r>
      <w:r>
        <w:rPr>
          <w:highlight w:val="none"/>
        </w:rPr>
        <w:t xml:space="preserve"> </w:t>
      </w:r>
    </w:p>
    <w:p w14:paraId="18CCB12C">
      <w:pPr>
        <w:pStyle w:val="4"/>
        <w:keepNext w:val="0"/>
        <w:keepLines w:val="0"/>
        <w:widowControl/>
        <w:suppressLineNumbers w:val="0"/>
        <w:spacing w:before="0" w:beforeAutospacing="1" w:after="0" w:afterAutospacing="1" w:line="400" w:lineRule="atLeast"/>
        <w:ind w:left="0" w:right="0" w:firstLine="240"/>
        <w:rPr>
          <w:highlight w:val="none"/>
        </w:rPr>
      </w:pPr>
      <w:r>
        <w:rPr>
          <w:sz w:val="24"/>
          <w:szCs w:val="24"/>
          <w:highlight w:val="none"/>
        </w:rPr>
        <w:t>（1）中间商的市场范围。</w:t>
      </w:r>
      <w:r>
        <w:rPr>
          <w:highlight w:val="none"/>
        </w:rPr>
        <w:t xml:space="preserve"> </w:t>
      </w:r>
    </w:p>
    <w:p w14:paraId="57DE3520">
      <w:pPr>
        <w:pStyle w:val="4"/>
        <w:keepNext w:val="0"/>
        <w:keepLines w:val="0"/>
        <w:widowControl/>
        <w:suppressLineNumbers w:val="0"/>
        <w:spacing w:before="0" w:beforeAutospacing="1" w:after="0" w:afterAutospacing="1" w:line="400" w:lineRule="atLeast"/>
        <w:ind w:left="0" w:right="0" w:firstLine="240"/>
        <w:rPr>
          <w:highlight w:val="none"/>
        </w:rPr>
      </w:pPr>
      <w:r>
        <w:rPr>
          <w:sz w:val="24"/>
          <w:szCs w:val="24"/>
          <w:highlight w:val="none"/>
        </w:rPr>
        <w:t>（2）中间商的财务状况及管理水平。</w:t>
      </w:r>
      <w:r>
        <w:rPr>
          <w:highlight w:val="none"/>
        </w:rPr>
        <w:t xml:space="preserve"> </w:t>
      </w:r>
    </w:p>
    <w:p w14:paraId="739DFF3D">
      <w:pPr>
        <w:pStyle w:val="4"/>
        <w:keepNext w:val="0"/>
        <w:keepLines w:val="0"/>
        <w:widowControl/>
        <w:suppressLineNumbers w:val="0"/>
        <w:spacing w:before="0" w:beforeAutospacing="1" w:after="0" w:afterAutospacing="1" w:line="400" w:lineRule="atLeast"/>
        <w:ind w:left="0" w:right="0" w:firstLine="240"/>
        <w:rPr>
          <w:highlight w:val="none"/>
        </w:rPr>
      </w:pPr>
      <w:r>
        <w:rPr>
          <w:sz w:val="24"/>
          <w:szCs w:val="24"/>
          <w:highlight w:val="none"/>
        </w:rPr>
        <w:t>（3）中间商的专业知识。</w:t>
      </w:r>
      <w:r>
        <w:rPr>
          <w:highlight w:val="none"/>
        </w:rPr>
        <w:t xml:space="preserve"> </w:t>
      </w:r>
    </w:p>
    <w:p w14:paraId="37BC71B8">
      <w:pPr>
        <w:pStyle w:val="4"/>
        <w:keepNext w:val="0"/>
        <w:keepLines w:val="0"/>
        <w:widowControl/>
        <w:suppressLineNumbers w:val="0"/>
        <w:spacing w:before="0" w:beforeAutospacing="1" w:after="0" w:afterAutospacing="1" w:line="400" w:lineRule="atLeast"/>
        <w:ind w:left="0" w:right="0" w:firstLine="240"/>
        <w:rPr>
          <w:highlight w:val="none"/>
        </w:rPr>
      </w:pPr>
      <w:r>
        <w:rPr>
          <w:sz w:val="24"/>
          <w:szCs w:val="24"/>
          <w:highlight w:val="none"/>
        </w:rPr>
        <w:t>（4）中间商的地理位置和拥有的网点数量。</w:t>
      </w:r>
      <w:r>
        <w:rPr>
          <w:highlight w:val="none"/>
        </w:rPr>
        <w:t xml:space="preserve"> </w:t>
      </w:r>
    </w:p>
    <w:p w14:paraId="2FB0A6B9">
      <w:pPr>
        <w:pStyle w:val="4"/>
        <w:keepNext w:val="0"/>
        <w:keepLines w:val="0"/>
        <w:widowControl/>
        <w:suppressLineNumbers w:val="0"/>
        <w:spacing w:before="0" w:beforeAutospacing="1" w:after="0" w:afterAutospacing="1" w:line="400" w:lineRule="atLeast"/>
        <w:ind w:left="0" w:right="0" w:firstLine="240"/>
        <w:rPr>
          <w:highlight w:val="none"/>
        </w:rPr>
      </w:pPr>
      <w:r>
        <w:rPr>
          <w:sz w:val="24"/>
          <w:szCs w:val="24"/>
          <w:highlight w:val="none"/>
        </w:rPr>
        <w:t>（5）中间商的信誉。</w:t>
      </w:r>
      <w:r>
        <w:rPr>
          <w:highlight w:val="none"/>
        </w:rPr>
        <w:t xml:space="preserve"> </w:t>
      </w:r>
    </w:p>
    <w:p w14:paraId="1F86FEDB">
      <w:pPr>
        <w:pStyle w:val="4"/>
        <w:keepNext w:val="0"/>
        <w:keepLines w:val="0"/>
        <w:widowControl/>
        <w:suppressLineNumbers w:val="0"/>
        <w:spacing w:before="0" w:beforeAutospacing="1" w:after="0" w:afterAutospacing="1" w:line="400" w:lineRule="atLeast"/>
        <w:ind w:left="0" w:right="0" w:firstLine="240"/>
        <w:rPr>
          <w:highlight w:val="none"/>
        </w:rPr>
      </w:pPr>
      <w:r>
        <w:rPr>
          <w:sz w:val="24"/>
          <w:szCs w:val="24"/>
          <w:highlight w:val="none"/>
        </w:rPr>
        <w:t>（6）预期合作程度。</w:t>
      </w:r>
      <w:r>
        <w:rPr>
          <w:highlight w:val="none"/>
        </w:rPr>
        <w:t xml:space="preserve"> </w:t>
      </w:r>
    </w:p>
    <w:p w14:paraId="38EB5E5D">
      <w:pPr>
        <w:pStyle w:val="4"/>
        <w:keepNext w:val="0"/>
        <w:keepLines w:val="0"/>
        <w:widowControl/>
        <w:suppressLineNumbers w:val="0"/>
        <w:spacing w:before="0" w:beforeAutospacing="1" w:after="0" w:afterAutospacing="1" w:line="400" w:lineRule="atLeast"/>
        <w:ind w:left="0" w:right="0"/>
        <w:rPr>
          <w:highlight w:val="none"/>
        </w:rPr>
      </w:pPr>
      <w:r>
        <w:rPr>
          <w:b/>
          <w:bCs/>
          <w:color w:val="000000"/>
          <w:sz w:val="24"/>
          <w:szCs w:val="24"/>
          <w:highlight w:val="none"/>
        </w:rPr>
        <w:t>2、当代国际市场服务营销的基本特征：（p244）</w:t>
      </w:r>
      <w:r>
        <w:rPr>
          <w:highlight w:val="none"/>
        </w:rPr>
        <w:t xml:space="preserve"> </w:t>
      </w:r>
    </w:p>
    <w:p w14:paraId="26E99B3E">
      <w:pPr>
        <w:pStyle w:val="4"/>
        <w:keepNext w:val="0"/>
        <w:keepLines w:val="0"/>
        <w:widowControl/>
        <w:suppressLineNumbers w:val="0"/>
        <w:spacing w:before="0" w:beforeAutospacing="1" w:after="0" w:afterAutospacing="1" w:line="400" w:lineRule="atLeast"/>
        <w:ind w:left="0" w:right="0" w:firstLine="480"/>
        <w:rPr>
          <w:highlight w:val="none"/>
        </w:rPr>
      </w:pPr>
      <w:r>
        <w:rPr>
          <w:color w:val="000000"/>
          <w:sz w:val="24"/>
          <w:szCs w:val="24"/>
          <w:highlight w:val="none"/>
        </w:rPr>
        <w:t>服务的无形性、不可分割性、不可贮存性及差异性特征决定了服务营销同产品营销具有很大的不同，具体表现为：</w:t>
      </w:r>
      <w:r>
        <w:rPr>
          <w:highlight w:val="none"/>
        </w:rPr>
        <w:t xml:space="preserve"> </w:t>
      </w:r>
    </w:p>
    <w:p w14:paraId="50A14CB6">
      <w:pPr>
        <w:pStyle w:val="4"/>
        <w:keepNext w:val="0"/>
        <w:keepLines w:val="0"/>
        <w:widowControl/>
        <w:suppressLineNumbers w:val="0"/>
        <w:spacing w:before="0" w:beforeAutospacing="1" w:after="0" w:afterAutospacing="1" w:line="400" w:lineRule="atLeast"/>
        <w:ind w:left="0" w:right="0" w:firstLine="480"/>
        <w:rPr>
          <w:highlight w:val="none"/>
        </w:rPr>
      </w:pPr>
      <w:r>
        <w:rPr>
          <w:color w:val="000000"/>
          <w:sz w:val="24"/>
          <w:szCs w:val="24"/>
          <w:highlight w:val="none"/>
        </w:rPr>
        <w:t>（1）服务需要借助有形来展示。</w:t>
      </w:r>
      <w:r>
        <w:rPr>
          <w:highlight w:val="none"/>
        </w:rPr>
        <w:t xml:space="preserve"> </w:t>
      </w:r>
    </w:p>
    <w:p w14:paraId="0B1067F8">
      <w:pPr>
        <w:pStyle w:val="4"/>
        <w:keepNext w:val="0"/>
        <w:keepLines w:val="0"/>
        <w:widowControl/>
        <w:suppressLineNumbers w:val="0"/>
        <w:spacing w:before="0" w:beforeAutospacing="1" w:after="0" w:afterAutospacing="1" w:line="400" w:lineRule="atLeast"/>
        <w:ind w:left="0" w:right="0" w:firstLine="480"/>
        <w:rPr>
          <w:highlight w:val="none"/>
        </w:rPr>
      </w:pPr>
      <w:r>
        <w:rPr>
          <w:color w:val="000000"/>
          <w:sz w:val="24"/>
          <w:szCs w:val="24"/>
          <w:highlight w:val="none"/>
        </w:rPr>
        <w:t>（2）注重与顾客的沟通和互动。</w:t>
      </w:r>
    </w:p>
    <w:p w14:paraId="50C5A3D7">
      <w:pPr>
        <w:pStyle w:val="4"/>
        <w:keepNext w:val="0"/>
        <w:keepLines w:val="0"/>
        <w:widowControl/>
        <w:suppressLineNumbers w:val="0"/>
        <w:spacing w:before="0" w:beforeAutospacing="1" w:after="0" w:afterAutospacing="1" w:line="400" w:lineRule="atLeast"/>
        <w:ind w:left="0" w:right="0" w:firstLine="480"/>
        <w:rPr>
          <w:highlight w:val="none"/>
        </w:rPr>
      </w:pPr>
      <w:r>
        <w:rPr>
          <w:color w:val="000000"/>
          <w:sz w:val="24"/>
          <w:szCs w:val="24"/>
          <w:highlight w:val="none"/>
        </w:rPr>
        <w:t>（3）要求更高的平衡供需能力。</w:t>
      </w:r>
    </w:p>
    <w:p w14:paraId="0F0BF780">
      <w:pPr>
        <w:pStyle w:val="4"/>
        <w:keepNext w:val="0"/>
        <w:keepLines w:val="0"/>
        <w:widowControl/>
        <w:suppressLineNumbers w:val="0"/>
        <w:spacing w:before="0" w:beforeAutospacing="1" w:after="0" w:afterAutospacing="1" w:line="400" w:lineRule="atLeast"/>
        <w:ind w:left="0" w:right="0" w:firstLine="480"/>
        <w:rPr>
          <w:highlight w:val="none"/>
        </w:rPr>
      </w:pPr>
      <w:r>
        <w:rPr>
          <w:color w:val="000000"/>
          <w:sz w:val="24"/>
          <w:szCs w:val="24"/>
          <w:highlight w:val="none"/>
        </w:rPr>
        <w:t>（4）对服务人员的高要求。</w:t>
      </w:r>
      <w:r>
        <w:rPr>
          <w:highlight w:val="none"/>
        </w:rPr>
        <w:t xml:space="preserve"> </w:t>
      </w:r>
    </w:p>
    <w:p w14:paraId="07D171A3">
      <w:pPr>
        <w:pStyle w:val="4"/>
        <w:keepNext w:val="0"/>
        <w:keepLines w:val="0"/>
        <w:widowControl/>
        <w:suppressLineNumbers w:val="0"/>
        <w:spacing w:before="0" w:beforeAutospacing="1" w:after="0" w:afterAutospacing="1" w:line="400" w:lineRule="atLeast"/>
        <w:ind w:left="0" w:right="0"/>
        <w:rPr>
          <w:highlight w:val="none"/>
        </w:rPr>
      </w:pPr>
      <w:r>
        <w:rPr>
          <w:b/>
          <w:bCs/>
          <w:color w:val="000000"/>
          <w:sz w:val="24"/>
          <w:szCs w:val="24"/>
          <w:highlight w:val="none"/>
        </w:rPr>
        <w:t>发展趋势（p245-246）：</w:t>
      </w:r>
      <w:r>
        <w:rPr>
          <w:highlight w:val="none"/>
        </w:rPr>
        <w:t xml:space="preserve"> </w:t>
      </w:r>
    </w:p>
    <w:p w14:paraId="76D0DD18">
      <w:pPr>
        <w:pStyle w:val="4"/>
        <w:keepNext w:val="0"/>
        <w:keepLines w:val="0"/>
        <w:widowControl/>
        <w:suppressLineNumbers w:val="0"/>
        <w:spacing w:before="0" w:beforeAutospacing="1" w:after="0" w:afterAutospacing="1" w:line="400" w:lineRule="atLeast"/>
        <w:ind w:left="0" w:right="0" w:firstLine="480"/>
        <w:rPr>
          <w:highlight w:val="none"/>
        </w:rPr>
      </w:pPr>
      <w:r>
        <w:rPr>
          <w:color w:val="000000"/>
          <w:sz w:val="24"/>
          <w:szCs w:val="24"/>
          <w:highlight w:val="none"/>
        </w:rPr>
        <w:t>（1）国际服务市场的快速增长。</w:t>
      </w:r>
      <w:r>
        <w:rPr>
          <w:highlight w:val="none"/>
        </w:rPr>
        <w:t xml:space="preserve"> </w:t>
      </w:r>
    </w:p>
    <w:p w14:paraId="435F96E0">
      <w:pPr>
        <w:pStyle w:val="4"/>
        <w:keepNext w:val="0"/>
        <w:keepLines w:val="0"/>
        <w:widowControl/>
        <w:suppressLineNumbers w:val="0"/>
        <w:spacing w:before="0" w:beforeAutospacing="1" w:after="0" w:afterAutospacing="1" w:line="400" w:lineRule="atLeast"/>
        <w:ind w:left="0" w:right="0" w:firstLine="480"/>
        <w:rPr>
          <w:highlight w:val="none"/>
        </w:rPr>
      </w:pPr>
      <w:r>
        <w:rPr>
          <w:color w:val="000000"/>
          <w:sz w:val="24"/>
          <w:szCs w:val="24"/>
          <w:highlight w:val="none"/>
        </w:rPr>
        <w:t>（2）国际服务市场的领域不断扩张。</w:t>
      </w:r>
    </w:p>
    <w:p w14:paraId="114B364D">
      <w:pPr>
        <w:pStyle w:val="4"/>
        <w:keepNext w:val="0"/>
        <w:keepLines w:val="0"/>
        <w:widowControl/>
        <w:suppressLineNumbers w:val="0"/>
        <w:spacing w:before="0" w:beforeAutospacing="1" w:after="0" w:afterAutospacing="1" w:line="400" w:lineRule="atLeast"/>
        <w:ind w:left="0" w:right="0" w:firstLine="480"/>
        <w:rPr>
          <w:highlight w:val="none"/>
        </w:rPr>
      </w:pPr>
      <w:r>
        <w:rPr>
          <w:color w:val="000000"/>
          <w:sz w:val="24"/>
          <w:szCs w:val="24"/>
          <w:highlight w:val="none"/>
        </w:rPr>
        <w:t>（3）发达国家与发展中国家国际服务贸易差异突出。</w:t>
      </w:r>
    </w:p>
    <w:p w14:paraId="356D2210">
      <w:pPr>
        <w:pStyle w:val="4"/>
        <w:keepNext w:val="0"/>
        <w:keepLines w:val="0"/>
        <w:widowControl/>
        <w:suppressLineNumbers w:val="0"/>
        <w:spacing w:before="0" w:beforeAutospacing="1" w:after="0" w:afterAutospacing="1" w:line="400" w:lineRule="atLeast"/>
        <w:ind w:left="0" w:right="0" w:firstLine="480"/>
        <w:rPr>
          <w:highlight w:val="none"/>
        </w:rPr>
      </w:pPr>
      <w:r>
        <w:rPr>
          <w:color w:val="000000"/>
          <w:sz w:val="24"/>
          <w:szCs w:val="24"/>
          <w:highlight w:val="none"/>
        </w:rPr>
        <w:t>（4）新科技革命和全球化有力推动国际服务市场发展。</w:t>
      </w:r>
    </w:p>
    <w:p w14:paraId="512C21B9">
      <w:pPr>
        <w:pStyle w:val="4"/>
        <w:keepNext w:val="0"/>
        <w:keepLines w:val="0"/>
        <w:widowControl/>
        <w:suppressLineNumbers w:val="0"/>
        <w:spacing w:before="0" w:beforeAutospacing="1" w:after="0" w:afterAutospacing="1" w:line="400" w:lineRule="atLeast"/>
        <w:ind w:left="0" w:right="0"/>
        <w:rPr>
          <w:highlight w:val="none"/>
        </w:rPr>
      </w:pPr>
      <w:r>
        <w:rPr>
          <w:b/>
          <w:bCs/>
          <w:sz w:val="24"/>
          <w:szCs w:val="24"/>
          <w:highlight w:val="none"/>
        </w:rPr>
        <w:t>3、企业制定国际市场定位战略决策的程序（p113）：</w:t>
      </w:r>
      <w:r>
        <w:rPr>
          <w:highlight w:val="none"/>
        </w:rPr>
        <w:t xml:space="preserve"> </w:t>
      </w:r>
    </w:p>
    <w:p w14:paraId="293374AB">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（1）识别一系列相关的党争产品或品牌，即要充分了解目标国家市场上目前的竞争者的产品或品牌定位情况。</w:t>
      </w:r>
    </w:p>
    <w:p w14:paraId="095339EB">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（2）确立当前消费者对于产品或品牌以及竞争者的看法，了解目标国家市场上消费者对既有品牌的态度以及消费需求的满足状态，努力寻找市场空白点。</w:t>
      </w:r>
      <w:r>
        <w:rPr>
          <w:highlight w:val="none"/>
        </w:rPr>
        <w:t xml:space="preserve"> </w:t>
      </w:r>
    </w:p>
    <w:p w14:paraId="28B2E8EC">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（3）开发可能的定位主题。</w:t>
      </w:r>
    </w:p>
    <w:p w14:paraId="0C056E7D">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（4）选择最具吸引力的定位战略。</w:t>
      </w:r>
    </w:p>
    <w:p w14:paraId="4CACF84A">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（5）制定营销组合战略。</w:t>
      </w:r>
    </w:p>
    <w:p w14:paraId="0499ECF3">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（6）监控定位战略的有效性。</w:t>
      </w:r>
    </w:p>
    <w:p w14:paraId="01719516">
      <w:pPr>
        <w:pStyle w:val="4"/>
        <w:keepNext w:val="0"/>
        <w:keepLines w:val="0"/>
        <w:widowControl/>
        <w:suppressLineNumbers w:val="0"/>
        <w:spacing w:before="0" w:beforeAutospacing="1" w:after="0" w:afterAutospacing="1" w:line="400" w:lineRule="atLeast"/>
        <w:ind w:left="0" w:right="0"/>
        <w:rPr>
          <w:highlight w:val="none"/>
        </w:rPr>
      </w:pPr>
      <w:r>
        <w:rPr>
          <w:b/>
          <w:bCs/>
          <w:sz w:val="24"/>
          <w:szCs w:val="24"/>
          <w:highlight w:val="none"/>
        </w:rPr>
        <w:t>4、国际市场实体分销的主要功能（p171）：</w:t>
      </w:r>
      <w:r>
        <w:rPr>
          <w:highlight w:val="none"/>
        </w:rPr>
        <w:t xml:space="preserve"> </w:t>
      </w:r>
    </w:p>
    <w:p w14:paraId="7160ADD7">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（1）实体分销是实现市场营销的重要一环</w:t>
      </w:r>
      <w:r>
        <w:rPr>
          <w:highlight w:val="none"/>
        </w:rPr>
        <w:t xml:space="preserve"> </w:t>
      </w:r>
    </w:p>
    <w:p w14:paraId="7D4D1324">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（2）合理的实体分销有利于降低成本</w:t>
      </w:r>
    </w:p>
    <w:p w14:paraId="0B45AA20">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（3）合理的实体分销有利于提高产品的价格竞争力</w:t>
      </w:r>
    </w:p>
    <w:p w14:paraId="779492C2">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（4）合理的实体分销有利于提高顾客满意度</w:t>
      </w:r>
    </w:p>
    <w:p w14:paraId="77076137">
      <w:pPr>
        <w:pStyle w:val="4"/>
        <w:keepNext w:val="0"/>
        <w:keepLines w:val="0"/>
        <w:widowControl/>
        <w:suppressLineNumbers w:val="0"/>
        <w:spacing w:before="0" w:beforeAutospacing="1" w:after="0" w:afterAutospacing="1" w:line="400" w:lineRule="atLeast"/>
        <w:ind w:left="0" w:right="0"/>
        <w:rPr>
          <w:highlight w:val="none"/>
        </w:rPr>
      </w:pPr>
      <w:r>
        <w:rPr>
          <w:b/>
          <w:bCs/>
          <w:sz w:val="24"/>
          <w:szCs w:val="24"/>
          <w:highlight w:val="none"/>
        </w:rPr>
        <w:t>5、国际营销战略规划的内容：（p222-225）</w:t>
      </w:r>
      <w:r>
        <w:rPr>
          <w:highlight w:val="none"/>
        </w:rPr>
        <w:t xml:space="preserve"> </w:t>
      </w:r>
    </w:p>
    <w:p w14:paraId="13C965F6">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（1）认识和界定企业的使命</w:t>
      </w:r>
    </w:p>
    <w:p w14:paraId="0C96C26C">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（2）确定企业的战略业务单位</w:t>
      </w:r>
    </w:p>
    <w:p w14:paraId="3594615D">
      <w:pPr>
        <w:pStyle w:val="4"/>
        <w:keepNext w:val="0"/>
        <w:keepLines w:val="0"/>
        <w:widowControl/>
        <w:suppressLineNumbers w:val="0"/>
        <w:spacing w:before="0" w:beforeAutospacing="1" w:after="0" w:afterAutospacing="1" w:line="400" w:lineRule="atLeast"/>
        <w:ind w:left="0" w:right="0" w:firstLine="480"/>
        <w:rPr>
          <w:highlight w:val="none"/>
        </w:rPr>
      </w:pPr>
      <w:r>
        <w:rPr>
          <w:sz w:val="24"/>
          <w:szCs w:val="24"/>
          <w:highlight w:val="none"/>
        </w:rPr>
        <w:t>（3）制定企业的业务单位组合</w:t>
      </w:r>
    </w:p>
    <w:p w14:paraId="69B9C08D">
      <w:pPr>
        <w:pStyle w:val="4"/>
        <w:keepNext w:val="0"/>
        <w:keepLines w:val="0"/>
        <w:widowControl/>
        <w:suppressLineNumbers w:val="0"/>
        <w:spacing w:before="0" w:beforeAutospacing="1" w:after="0" w:afterAutospacing="1" w:line="400" w:lineRule="atLeast"/>
        <w:ind w:left="0" w:right="0" w:firstLine="480"/>
        <w:rPr>
          <w:sz w:val="24"/>
          <w:szCs w:val="24"/>
          <w:highlight w:val="none"/>
        </w:rPr>
      </w:pPr>
      <w:r>
        <w:rPr>
          <w:sz w:val="24"/>
          <w:szCs w:val="24"/>
          <w:highlight w:val="none"/>
        </w:rPr>
        <w:t>（4）制定企业新业务的增长战略</w:t>
      </w:r>
    </w:p>
    <w:p w14:paraId="385F40CC">
      <w:pPr>
        <w:pStyle w:val="4"/>
        <w:keepNext w:val="0"/>
        <w:keepLines w:val="0"/>
        <w:widowControl/>
        <w:suppressLineNumbers w:val="0"/>
        <w:spacing w:before="0" w:beforeAutospacing="1" w:after="0" w:afterAutospacing="1" w:line="400" w:lineRule="atLeast"/>
        <w:ind w:left="0" w:right="0"/>
        <w:rPr>
          <w:rFonts w:hint="eastAsia"/>
          <w:b/>
          <w:bCs/>
          <w:sz w:val="24"/>
          <w:szCs w:val="24"/>
          <w:highlight w:val="none"/>
        </w:rPr>
      </w:pPr>
      <w:r>
        <w:rPr>
          <w:rFonts w:hint="eastAsia"/>
          <w:b/>
          <w:bCs/>
          <w:sz w:val="24"/>
          <w:szCs w:val="24"/>
          <w:highlight w:val="none"/>
          <w:lang w:val="en-US" w:eastAsia="zh-CN"/>
        </w:rPr>
        <w:t>6、</w:t>
      </w:r>
      <w:r>
        <w:rPr>
          <w:b/>
          <w:bCs/>
          <w:sz w:val="24"/>
          <w:szCs w:val="24"/>
          <w:highlight w:val="none"/>
        </w:rPr>
        <w:t xml:space="preserve"> </w:t>
      </w:r>
      <w:r>
        <w:rPr>
          <w:rFonts w:hint="eastAsia"/>
          <w:b/>
          <w:bCs/>
          <w:sz w:val="24"/>
          <w:szCs w:val="24"/>
          <w:highlight w:val="none"/>
        </w:rPr>
        <w:t>简述全球目标市场战略类型以及决策时应考虑的因素。</w:t>
      </w:r>
    </w:p>
    <w:p w14:paraId="6001BF3E">
      <w:pPr>
        <w:spacing w:line="360" w:lineRule="auto"/>
        <w:rPr>
          <w:rFonts w:hint="eastAsia" w:ascii="宋体" w:hAnsi="宋体"/>
          <w:szCs w:val="21"/>
          <w:highlight w:val="none"/>
          <w:lang w:val="en-US" w:eastAsia="zh-CN"/>
        </w:rPr>
      </w:pPr>
      <w:r>
        <w:rPr>
          <w:rFonts w:hint="eastAsia" w:ascii="宋体" w:hAnsi="宋体"/>
          <w:szCs w:val="21"/>
          <w:highlight w:val="none"/>
          <w:lang w:val="en-US" w:eastAsia="zh-CN"/>
        </w:rPr>
        <w:t>答：战略类型：无差异全球营销、差异全球营销、集中全球营销。</w:t>
      </w:r>
    </w:p>
    <w:p w14:paraId="121B4ADA">
      <w:pPr>
        <w:spacing w:line="360" w:lineRule="auto"/>
        <w:rPr>
          <w:rFonts w:hint="eastAsia"/>
          <w:b/>
          <w:bCs/>
          <w:sz w:val="24"/>
          <w:szCs w:val="24"/>
          <w:highlight w:val="none"/>
        </w:rPr>
      </w:pPr>
      <w:r>
        <w:rPr>
          <w:rFonts w:hint="eastAsia" w:ascii="宋体" w:hAnsi="宋体"/>
          <w:szCs w:val="21"/>
          <w:highlight w:val="none"/>
          <w:lang w:val="en-US" w:eastAsia="zh-CN"/>
        </w:rPr>
        <w:t>决策因素：市场规模与潜力、市场竞争状况、企业资源与能力、产品特性、文化差异等。</w:t>
      </w:r>
    </w:p>
    <w:p w14:paraId="097E705E">
      <w:pPr>
        <w:pStyle w:val="4"/>
        <w:keepNext w:val="0"/>
        <w:keepLines w:val="0"/>
        <w:widowControl/>
        <w:suppressLineNumbers w:val="0"/>
        <w:spacing w:before="0" w:beforeAutospacing="1" w:after="0" w:afterAutospacing="1" w:line="27" w:lineRule="atLeast"/>
        <w:ind w:left="0" w:right="0"/>
        <w:rPr>
          <w:highlight w:val="none"/>
        </w:rPr>
      </w:pPr>
      <w:r>
        <w:rPr>
          <w:b/>
          <w:bCs/>
          <w:sz w:val="24"/>
          <w:szCs w:val="24"/>
          <w:highlight w:val="none"/>
        </w:rPr>
        <w:t>四、论述题</w:t>
      </w:r>
      <w:r>
        <w:rPr>
          <w:highlight w:val="none"/>
        </w:rPr>
        <w:t xml:space="preserve"> </w:t>
      </w:r>
    </w:p>
    <w:p w14:paraId="2EB777A5">
      <w:pPr>
        <w:pStyle w:val="4"/>
        <w:keepNext w:val="0"/>
        <w:keepLines w:val="0"/>
        <w:widowControl/>
        <w:suppressLineNumbers w:val="0"/>
        <w:spacing w:before="0" w:beforeAutospacing="1" w:after="0" w:afterAutospacing="1" w:line="27" w:lineRule="atLeast"/>
        <w:ind w:left="0" w:right="0"/>
        <w:rPr>
          <w:highlight w:val="none"/>
        </w:rPr>
      </w:pPr>
      <w:r>
        <w:rPr>
          <w:b/>
          <w:bCs/>
          <w:color w:val="000000"/>
          <w:sz w:val="24"/>
          <w:szCs w:val="24"/>
          <w:highlight w:val="none"/>
        </w:rPr>
        <w:t>1、国际市场公共关系的主要任务</w:t>
      </w:r>
      <w:r>
        <w:rPr>
          <w:b/>
          <w:bCs/>
          <w:sz w:val="24"/>
          <w:szCs w:val="24"/>
          <w:highlight w:val="none"/>
        </w:rPr>
        <w:t>：（p214）</w:t>
      </w:r>
      <w:r>
        <w:rPr>
          <w:highlight w:val="none"/>
        </w:rPr>
        <w:t xml:space="preserve"> </w:t>
      </w:r>
    </w:p>
    <w:p w14:paraId="28436E33">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国际市场公共关系的中心任务是树立和维护企业良好的公众形象。具体来说，企业的国际公关工作的主要任务如下：</w:t>
      </w:r>
      <w:r>
        <w:rPr>
          <w:highlight w:val="none"/>
        </w:rPr>
        <w:t xml:space="preserve"> </w:t>
      </w:r>
    </w:p>
    <w:p w14:paraId="758ABD73">
      <w:pPr>
        <w:pStyle w:val="4"/>
        <w:keepNext w:val="0"/>
        <w:keepLines w:val="0"/>
        <w:widowControl/>
        <w:suppressLineNumbers w:val="0"/>
        <w:spacing w:before="0" w:beforeAutospacing="1" w:after="0" w:afterAutospacing="1" w:line="27" w:lineRule="atLeast"/>
        <w:ind w:left="0" w:right="0"/>
        <w:rPr>
          <w:highlight w:val="none"/>
        </w:rPr>
      </w:pPr>
      <w:r>
        <w:rPr>
          <w:sz w:val="24"/>
          <w:szCs w:val="24"/>
          <w:highlight w:val="none"/>
        </w:rPr>
        <w:t>（一）宣传企业</w:t>
      </w:r>
    </w:p>
    <w:p w14:paraId="5ECCF9A8">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企业可以向公众提供自己印制或正式出版的宣传品（书面资料或音像资料)，向公众介绍企业的产品以及企业所做的对公众有利的事情。企业还可以利用大众媒体为企业进行宣传，以建立良好的企业形象。如果能争取到新闻媒体的主动报道，则这种宣传的可信度会更高。</w:t>
      </w:r>
    </w:p>
    <w:p w14:paraId="783C232A">
      <w:pPr>
        <w:pStyle w:val="4"/>
        <w:keepNext w:val="0"/>
        <w:keepLines w:val="0"/>
        <w:widowControl/>
        <w:suppressLineNumbers w:val="0"/>
        <w:spacing w:before="0" w:beforeAutospacing="1" w:after="0" w:afterAutospacing="1" w:line="27" w:lineRule="atLeast"/>
        <w:ind w:left="0" w:right="0"/>
        <w:rPr>
          <w:highlight w:val="none"/>
        </w:rPr>
      </w:pPr>
      <w:r>
        <w:rPr>
          <w:sz w:val="24"/>
          <w:szCs w:val="24"/>
          <w:highlight w:val="none"/>
        </w:rPr>
        <w:t>（二）加强与社会各方面的沟通和联系</w:t>
      </w:r>
      <w:r>
        <w:rPr>
          <w:highlight w:val="none"/>
        </w:rPr>
        <w:t xml:space="preserve"> </w:t>
      </w:r>
    </w:p>
    <w:p w14:paraId="371A3C2B">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企业通过与当地政府、经销商、社会事业人士和团体、消费者联系，可增进了解，加深感情。有的企业建立与国际市场目标公众固定的公开往来制度，经常向他们说明本企业对顾客、公众和社会可能作出和已经作出的贡献。为了完成这项任务，企业可以在国际社会搞一些赞助、捐赠、竞赛等活动，如赞助体育运动会，向社会团体赠送礼品，向对社会有突出贡献的组织和个人颁发奖金，为公用事业捐款，扶持残疾人事业，捐助文化、教育、卫生事业建设等。</w:t>
      </w:r>
    </w:p>
    <w:p w14:paraId="5F39F1BB">
      <w:pPr>
        <w:pStyle w:val="4"/>
        <w:keepNext w:val="0"/>
        <w:keepLines w:val="0"/>
        <w:widowControl/>
        <w:suppressLineNumbers w:val="0"/>
        <w:spacing w:before="0" w:beforeAutospacing="1" w:after="0" w:afterAutospacing="1" w:line="27" w:lineRule="atLeast"/>
        <w:ind w:left="0" w:right="0"/>
        <w:rPr>
          <w:highlight w:val="none"/>
        </w:rPr>
      </w:pPr>
      <w:r>
        <w:rPr>
          <w:sz w:val="24"/>
          <w:szCs w:val="24"/>
          <w:highlight w:val="none"/>
        </w:rPr>
        <w:t>（三）意见反馈</w:t>
      </w:r>
    </w:p>
    <w:p w14:paraId="3B3A81BB">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建立与公众之间的联系制度，答复他们向本企业提出的各种询问，提供有关本企业情况的材料，对任何来访、来电和来信的人，进行迅速、有礼、准确、友好的接待和处理。</w:t>
      </w:r>
    </w:p>
    <w:p w14:paraId="6EAC41B1">
      <w:pPr>
        <w:pStyle w:val="4"/>
        <w:keepNext w:val="0"/>
        <w:keepLines w:val="0"/>
        <w:widowControl/>
        <w:suppressLineNumbers w:val="0"/>
        <w:spacing w:before="0" w:beforeAutospacing="1" w:after="0" w:afterAutospacing="1" w:line="27" w:lineRule="atLeast"/>
        <w:ind w:left="0" w:right="0"/>
        <w:rPr>
          <w:highlight w:val="none"/>
        </w:rPr>
      </w:pPr>
      <w:r>
        <w:rPr>
          <w:sz w:val="24"/>
          <w:szCs w:val="24"/>
          <w:highlight w:val="none"/>
        </w:rPr>
        <w:t>（四）应付危机，消除不利影响</w:t>
      </w:r>
    </w:p>
    <w:p w14:paraId="6A9F2294">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当企业的国际市场营销战略发生失误，或出现较大的问题时，可以利用公共关系给予补救；对不利于本企业发展的社会活动和社会舆论，要运用公共关系进行纠正和反驳。</w:t>
      </w:r>
    </w:p>
    <w:p w14:paraId="5804E27D">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在国际营销的实际工作中，各企业应根据不同时期不同的市场情况，确定公共关系的具体任务和公关方法。</w:t>
      </w:r>
    </w:p>
    <w:p w14:paraId="33AD4829">
      <w:pPr>
        <w:pStyle w:val="4"/>
        <w:keepNext w:val="0"/>
        <w:keepLines w:val="0"/>
        <w:widowControl/>
        <w:suppressLineNumbers w:val="0"/>
        <w:spacing w:before="0" w:beforeAutospacing="1" w:after="0" w:afterAutospacing="1" w:line="27" w:lineRule="atLeast"/>
        <w:ind w:left="0" w:right="0"/>
        <w:rPr>
          <w:highlight w:val="none"/>
        </w:rPr>
      </w:pPr>
      <w:r>
        <w:rPr>
          <w:b/>
          <w:bCs/>
          <w:sz w:val="21"/>
          <w:szCs w:val="21"/>
          <w:highlight w:val="none"/>
        </w:rPr>
        <w:t>2、</w:t>
      </w:r>
      <w:r>
        <w:rPr>
          <w:b/>
          <w:bCs/>
          <w:sz w:val="24"/>
          <w:szCs w:val="24"/>
          <w:highlight w:val="none"/>
        </w:rPr>
        <w:t>中国企业应对反倾销的主要措施：（p191-192）</w:t>
      </w:r>
      <w:r>
        <w:rPr>
          <w:highlight w:val="none"/>
        </w:rPr>
        <w:t xml:space="preserve"> </w:t>
      </w:r>
    </w:p>
    <w:p w14:paraId="181328C6">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当前，政府部门和出口企业应加强联手，积极应对国外的反倾销，主要可采取以下措施：</w:t>
      </w:r>
      <w:r>
        <w:rPr>
          <w:highlight w:val="none"/>
        </w:rPr>
        <w:t xml:space="preserve"> </w:t>
      </w:r>
    </w:p>
    <w:p w14:paraId="59443C3A">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（1）强化法律意识，提高企业应诉的主动性。企业作为市场经营运行的主体，要参与国际市场竞争，必须更多地学习和掌握国际贸易的法律，强化自我保护、自我发展意识。</w:t>
      </w:r>
    </w:p>
    <w:p w14:paraId="478F2E88">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2）规范出口竞争秩序，提高企业竞争能力。一是要注重对出口产品在国外市场的调研工作，了解并掌握其同行对手的生产能力、市场销量和价格水平，防止一哄而上过量出口。二是要加速建立市场经济的价格运行机制，尽快形成合理的价格体系，切实做到商品价格由市场决定，从而使西方国家在反倾销中对我国实行价格歧视的借口失去依据。三是要加强对企业的宏观调控和协调管理，严禁出口企业低价竞销，以避免出口企业自相残杀而导致肥水外流。四是要优化生产要素的合理配置，通过降低成本提高竞争能力。</w:t>
      </w:r>
    </w:p>
    <w:p w14:paraId="0C14098D">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3）增强国际营销观念，实施出口多元化战略。在国际市场竞争日趋激烈的形势下，出口企业应尽快转换现有的竞争战略及策略，变“以廉取胜”为“以质取胜”，学会运用商标、包装、公关、广告等多种非价格竞争的手段，在出口商品的技术含量和创汇率上下工夫，扩大高技术含量、高附加值产品的出口。同时，应注重全方位地开拓国际市场，在巩固现有欧美市场的同时，积极开拓新兴的海外市场，尤其要加强对东欧、拉美、非洲等市场的开拓，以降低市场过于集中所带来的风险，并达到避免反倾销调查之效。</w:t>
      </w:r>
    </w:p>
    <w:p w14:paraId="22562268">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（4）加大政府交涉力度，力促取消对华不平等待遇。一方</w:t>
      </w:r>
      <w:r>
        <w:rPr>
          <w:rFonts w:hint="eastAsia"/>
          <w:sz w:val="24"/>
          <w:szCs w:val="24"/>
          <w:highlight w:val="none"/>
          <w:lang w:val="en-US" w:eastAsia="zh-CN"/>
        </w:rPr>
        <w:t>面</w:t>
      </w:r>
      <w:r>
        <w:rPr>
          <w:sz w:val="24"/>
          <w:szCs w:val="24"/>
          <w:highlight w:val="none"/>
        </w:rPr>
        <w:t>，政府要加大力度在国际上宣传我国市场经济转轨的事实，通过政府之间的谈判，要求欧美等西方国家取消参照国做法，按我国国内分格确定产品的正常价格，并对涉诉企业采取实事求是、个别对待的做法。另一方面，加入WTO后，我国成为国际反倾销公约的签约国，可提高我国在反倾销谈判和诉讼中的地位，有效抵制国外对华反倾销的歧视，维护我国企业的合法权益。同时，我国也应加大对外国产品的反倾销追查力度。</w:t>
      </w:r>
    </w:p>
    <w:p w14:paraId="7D85F8D1">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（5）建立健全反倾销应诉机制，全力做好反倾销应诉工作。</w:t>
      </w:r>
    </w:p>
    <w:p w14:paraId="2BF9B4A2">
      <w:pPr>
        <w:pStyle w:val="4"/>
        <w:keepNext w:val="0"/>
        <w:keepLines w:val="0"/>
        <w:widowControl/>
        <w:suppressLineNumbers w:val="0"/>
        <w:spacing w:before="0" w:beforeAutospacing="1" w:after="0" w:afterAutospacing="1" w:line="27" w:lineRule="atLeast"/>
        <w:ind w:left="0" w:right="0"/>
        <w:rPr>
          <w:highlight w:val="none"/>
        </w:rPr>
      </w:pPr>
      <w:r>
        <w:rPr>
          <w:b/>
          <w:bCs/>
          <w:sz w:val="24"/>
          <w:szCs w:val="24"/>
          <w:highlight w:val="none"/>
        </w:rPr>
        <w:t>3、国际市场网络营销实施过程包括的环节（p272）：</w:t>
      </w:r>
      <w:r>
        <w:rPr>
          <w:highlight w:val="none"/>
        </w:rPr>
        <w:t xml:space="preserve"> </w:t>
      </w:r>
    </w:p>
    <w:p w14:paraId="55974CE2">
      <w:pPr>
        <w:pStyle w:val="4"/>
        <w:keepNext w:val="0"/>
        <w:keepLines w:val="0"/>
        <w:widowControl/>
        <w:suppressLineNumbers w:val="0"/>
        <w:spacing w:before="0" w:beforeAutospacing="1" w:after="0" w:afterAutospacing="1" w:line="27" w:lineRule="atLeast"/>
        <w:ind w:left="0" w:right="0"/>
        <w:rPr>
          <w:highlight w:val="none"/>
        </w:rPr>
      </w:pPr>
      <w:r>
        <w:rPr>
          <w:sz w:val="24"/>
          <w:szCs w:val="24"/>
          <w:highlight w:val="none"/>
        </w:rPr>
        <w:t>（1）企业内部和市场竞争环境分析</w:t>
      </w:r>
    </w:p>
    <w:p w14:paraId="252A559A">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首先，分析可能性，主要考察企业内部是否成熟，企业的目标市场是否愿意接收网络营销模式。其次，分析可行性，主要考察企业内部是否有信息化基础，是否有足够的资金、技术和人才；再次，分析必要性，主要考察企业竞争环境的变化，企业的竞争者是否启动网络营销，是否已对企业造成潜在威胁；最后，分析重要性，企业在面对市场竞争威胁时，是否可以通过网络营销的实施增强企业竞争能力，以削弱竞争对手竞争能力。</w:t>
      </w:r>
    </w:p>
    <w:p w14:paraId="341593AA">
      <w:pPr>
        <w:pStyle w:val="4"/>
        <w:keepNext w:val="0"/>
        <w:keepLines w:val="0"/>
        <w:widowControl/>
        <w:suppressLineNumbers w:val="0"/>
        <w:spacing w:before="0" w:beforeAutospacing="1" w:after="0" w:afterAutospacing="1" w:line="27" w:lineRule="atLeast"/>
        <w:ind w:left="0" w:right="0"/>
        <w:rPr>
          <w:highlight w:val="none"/>
        </w:rPr>
      </w:pPr>
      <w:r>
        <w:rPr>
          <w:sz w:val="24"/>
          <w:szCs w:val="24"/>
          <w:highlight w:val="none"/>
        </w:rPr>
        <w:t>（2）制订计划和确定实施方案</w:t>
      </w:r>
      <w:r>
        <w:rPr>
          <w:highlight w:val="none"/>
        </w:rPr>
        <w:t xml:space="preserve"> </w:t>
      </w:r>
    </w:p>
    <w:p w14:paraId="59F24214">
      <w:pPr>
        <w:pStyle w:val="4"/>
        <w:keepNext w:val="0"/>
        <w:keepLines w:val="0"/>
        <w:widowControl/>
        <w:suppressLineNumbers w:val="0"/>
        <w:spacing w:before="0" w:beforeAutospacing="1" w:after="0" w:afterAutospacing="1" w:line="27" w:lineRule="atLeast"/>
        <w:ind w:left="0" w:right="0" w:firstLine="480"/>
        <w:rPr>
          <w:highlight w:val="none"/>
        </w:rPr>
      </w:pPr>
      <w:r>
        <w:rPr>
          <w:sz w:val="24"/>
          <w:szCs w:val="24"/>
          <w:highlight w:val="none"/>
        </w:rPr>
        <w:t>计划制订必须由企业管理高层统一领导和协调，因为企业间电子商务的实施可能对企业整个组织和各个方面的管理产生影响。计划制订必须从企业整体出发，由上到下而不能从下到上，否则会导致本末倒置。确定计划后，企业要拟订方案，同时邀请相关电子商务方案提供商参与招标，从而确定最好的方案。</w:t>
      </w:r>
    </w:p>
    <w:p w14:paraId="17617543">
      <w:pPr>
        <w:pStyle w:val="4"/>
        <w:keepNext w:val="0"/>
        <w:keepLines w:val="0"/>
        <w:widowControl/>
        <w:suppressLineNumbers w:val="0"/>
        <w:spacing w:before="0" w:beforeAutospacing="1" w:after="0" w:afterAutospacing="1" w:line="27" w:lineRule="atLeast"/>
        <w:ind w:left="0" w:right="0"/>
        <w:rPr>
          <w:highlight w:val="none"/>
        </w:rPr>
      </w:pPr>
      <w:r>
        <w:rPr>
          <w:sz w:val="24"/>
          <w:szCs w:val="24"/>
          <w:highlight w:val="none"/>
        </w:rPr>
        <w:t>（3）组织实施</w:t>
      </w:r>
    </w:p>
    <w:p w14:paraId="0EEB3A84">
      <w:pPr>
        <w:pStyle w:val="4"/>
        <w:keepNext w:val="0"/>
        <w:keepLines w:val="0"/>
        <w:widowControl/>
        <w:suppressLineNumbers w:val="0"/>
        <w:spacing w:before="0" w:beforeAutospacing="1" w:after="0" w:afterAutospacing="1" w:line="27" w:lineRule="atLeast"/>
        <w:ind w:left="0" w:right="0" w:firstLine="480"/>
      </w:pPr>
      <w:r>
        <w:rPr>
          <w:sz w:val="24"/>
          <w:szCs w:val="24"/>
          <w:highlight w:val="none"/>
        </w:rPr>
        <w:t>国际市场网络营销方案确定后，关键是组织实施。国际市场网络营销实施是</w:t>
      </w:r>
      <w:bookmarkEnd w:id="26"/>
      <w:r>
        <w:rPr>
          <w:sz w:val="24"/>
          <w:szCs w:val="24"/>
        </w:rPr>
        <w:t>一项系统工程，它需要资金准备、设备采购、软件采购、人员组织等几个方面协调工作。（）国际市场网络营销系统建设理好后，企业面临的是管理和组织上的问题。企业必须适应国际市场网络营销的业务流程变化，自行调整组织结构，通过对组织结构重组和建立新的管理体系发挥网络营销的竞争力。否则，组织结构和管理体制的滞后可能对企业原有营销体系起到负面影响。</w:t>
      </w:r>
    </w:p>
    <w:p w14:paraId="1396B1A7">
      <w:pPr>
        <w:pStyle w:val="4"/>
        <w:keepNext w:val="0"/>
        <w:keepLines w:val="0"/>
        <w:widowControl/>
        <w:suppressLineNumbers w:val="0"/>
        <w:spacing w:before="0" w:beforeAutospacing="1" w:after="0" w:afterAutospacing="1" w:line="27" w:lineRule="atLeast"/>
        <w:ind w:left="0" w:right="0"/>
      </w:pPr>
    </w:p>
    <w:p w14:paraId="38F546CD">
      <w:pPr>
        <w:pStyle w:val="4"/>
        <w:keepNext w:val="0"/>
        <w:keepLines w:val="0"/>
        <w:widowControl/>
        <w:suppressLineNumbers w:val="0"/>
        <w:spacing w:before="0" w:beforeAutospacing="1" w:after="0" w:afterAutospacing="1" w:line="27" w:lineRule="atLeast"/>
        <w:ind w:left="0" w:right="0"/>
      </w:pPr>
    </w:p>
    <w:p w14:paraId="6249AC26">
      <w:pPr>
        <w:pStyle w:val="4"/>
        <w:keepNext w:val="0"/>
        <w:keepLines w:val="0"/>
        <w:widowControl/>
        <w:suppressLineNumbers w:val="0"/>
        <w:spacing w:before="0" w:beforeAutospacing="1" w:after="0" w:afterAutospacing="1" w:line="27" w:lineRule="atLeast"/>
        <w:ind w:left="0" w:right="0" w:firstLine="480"/>
      </w:pPr>
    </w:p>
    <w:p w14:paraId="4073488E">
      <w:pPr>
        <w:widowControl/>
        <w:jc w:val="left"/>
        <w:rPr>
          <w:rFonts w:ascii="宋体" w:hAnsi="宋体"/>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0C225">
    <w:pPr>
      <w:pStyle w:val="2"/>
      <w:jc w:val="center"/>
    </w:pPr>
    <w:r>
      <w:rPr>
        <w:rFonts w:hint="eastAsia"/>
      </w:rPr>
      <w:t>第</w:t>
    </w:r>
    <w:sdt>
      <w:sdtPr>
        <w:id w:val="-1250428053"/>
        <w:docPartObj>
          <w:docPartGallery w:val="autotext"/>
        </w:docPartObj>
      </w:sdtPr>
      <w:sdtContent>
        <w:sdt>
          <w:sdtPr>
            <w:id w:val="1728636285"/>
            <w:docPartObj>
              <w:docPartGallery w:val="autotext"/>
            </w:docPartObj>
          </w:sdtPr>
          <w:sdtContent>
            <w: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w:t>
            </w:r>
            <w:r>
              <w:rPr>
                <w:rFonts w:hint="eastAsia"/>
                <w:lang w:val="zh-CN"/>
              </w:rPr>
              <w:t>页</w:t>
            </w:r>
            <w:r>
              <w:rPr>
                <w:lang w:val="zh-CN"/>
              </w:rPr>
              <w:t xml:space="preserve">/  </w:t>
            </w:r>
            <w:r>
              <w:rPr>
                <w:rFonts w:hint="eastAsia"/>
                <w:lang w:val="zh-CN"/>
              </w:rPr>
              <w:t xml:space="preserve">共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r>
              <w:rPr>
                <w:b/>
                <w:bCs/>
                <w:sz w:val="24"/>
                <w:szCs w:val="24"/>
              </w:rPr>
              <w:t xml:space="preserve"> </w:t>
            </w:r>
            <w:r>
              <w:rPr>
                <w:rFonts w:hint="eastAsia"/>
                <w:lang w:val="zh-CN"/>
              </w:rPr>
              <w:t>页</w:t>
            </w:r>
            <w:r>
              <w:rPr>
                <w:b/>
                <w:bCs/>
                <w:sz w:val="24"/>
                <w:szCs w:val="24"/>
              </w:rPr>
              <w:t xml:space="preserve"> </w:t>
            </w:r>
          </w:sdtContent>
        </w:sdt>
      </w:sdtContent>
    </w:sdt>
  </w:p>
  <w:p w14:paraId="0261D8B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5D9"/>
    <w:rsid w:val="0002097E"/>
    <w:rsid w:val="00045674"/>
    <w:rsid w:val="00053ACB"/>
    <w:rsid w:val="00064F50"/>
    <w:rsid w:val="000956A9"/>
    <w:rsid w:val="000B05A4"/>
    <w:rsid w:val="000B7DCE"/>
    <w:rsid w:val="000F2795"/>
    <w:rsid w:val="001100DF"/>
    <w:rsid w:val="001346AC"/>
    <w:rsid w:val="001366E1"/>
    <w:rsid w:val="0015365F"/>
    <w:rsid w:val="00160A4C"/>
    <w:rsid w:val="001865D9"/>
    <w:rsid w:val="001A0B52"/>
    <w:rsid w:val="002037D3"/>
    <w:rsid w:val="00207FC1"/>
    <w:rsid w:val="00211547"/>
    <w:rsid w:val="002132A4"/>
    <w:rsid w:val="002478F8"/>
    <w:rsid w:val="00255398"/>
    <w:rsid w:val="00256999"/>
    <w:rsid w:val="0029197A"/>
    <w:rsid w:val="002B29B5"/>
    <w:rsid w:val="002D75B5"/>
    <w:rsid w:val="003026DB"/>
    <w:rsid w:val="00341196"/>
    <w:rsid w:val="00370B49"/>
    <w:rsid w:val="00395A2B"/>
    <w:rsid w:val="003A7473"/>
    <w:rsid w:val="003B22DB"/>
    <w:rsid w:val="003B6093"/>
    <w:rsid w:val="003D28E0"/>
    <w:rsid w:val="003E4356"/>
    <w:rsid w:val="00403A6C"/>
    <w:rsid w:val="0040504A"/>
    <w:rsid w:val="00426FB0"/>
    <w:rsid w:val="00466981"/>
    <w:rsid w:val="0047246B"/>
    <w:rsid w:val="00477121"/>
    <w:rsid w:val="00493C0D"/>
    <w:rsid w:val="004B13BC"/>
    <w:rsid w:val="004B6EB5"/>
    <w:rsid w:val="004C08D9"/>
    <w:rsid w:val="005242B0"/>
    <w:rsid w:val="00527024"/>
    <w:rsid w:val="00534822"/>
    <w:rsid w:val="00582AD8"/>
    <w:rsid w:val="00622B71"/>
    <w:rsid w:val="00623755"/>
    <w:rsid w:val="00626BF6"/>
    <w:rsid w:val="0068582F"/>
    <w:rsid w:val="00690460"/>
    <w:rsid w:val="006A3AD2"/>
    <w:rsid w:val="006A568B"/>
    <w:rsid w:val="006B3292"/>
    <w:rsid w:val="006E3B62"/>
    <w:rsid w:val="00716FF1"/>
    <w:rsid w:val="007605A2"/>
    <w:rsid w:val="00760AE6"/>
    <w:rsid w:val="007627E6"/>
    <w:rsid w:val="007A2106"/>
    <w:rsid w:val="007B196A"/>
    <w:rsid w:val="007B3877"/>
    <w:rsid w:val="007E0887"/>
    <w:rsid w:val="007E15C0"/>
    <w:rsid w:val="0080346D"/>
    <w:rsid w:val="008179CF"/>
    <w:rsid w:val="008C02FF"/>
    <w:rsid w:val="008F12A5"/>
    <w:rsid w:val="00945668"/>
    <w:rsid w:val="00A03179"/>
    <w:rsid w:val="00A1504F"/>
    <w:rsid w:val="00A3378F"/>
    <w:rsid w:val="00A55AEA"/>
    <w:rsid w:val="00A64951"/>
    <w:rsid w:val="00A92CAF"/>
    <w:rsid w:val="00AC35F7"/>
    <w:rsid w:val="00AD1732"/>
    <w:rsid w:val="00AD2B3A"/>
    <w:rsid w:val="00B360A6"/>
    <w:rsid w:val="00B42ABE"/>
    <w:rsid w:val="00BD20A0"/>
    <w:rsid w:val="00C15074"/>
    <w:rsid w:val="00CF393D"/>
    <w:rsid w:val="00CF58B7"/>
    <w:rsid w:val="00D261CC"/>
    <w:rsid w:val="00D745CD"/>
    <w:rsid w:val="00DA76D9"/>
    <w:rsid w:val="00DB44B6"/>
    <w:rsid w:val="00DC63F9"/>
    <w:rsid w:val="00E22CD5"/>
    <w:rsid w:val="00E378FF"/>
    <w:rsid w:val="00E45BD9"/>
    <w:rsid w:val="00E90EDB"/>
    <w:rsid w:val="00EA285C"/>
    <w:rsid w:val="00EF5B03"/>
    <w:rsid w:val="00F03013"/>
    <w:rsid w:val="00F04FF6"/>
    <w:rsid w:val="00F112D8"/>
    <w:rsid w:val="00F236B4"/>
    <w:rsid w:val="00F5626C"/>
    <w:rsid w:val="00FA7AD7"/>
    <w:rsid w:val="00FC2B6A"/>
    <w:rsid w:val="00FC2FED"/>
    <w:rsid w:val="00FF5C52"/>
    <w:rsid w:val="532726DE"/>
    <w:rsid w:val="53A56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7">
    <w:name w:val="页眉 字符"/>
    <w:basedOn w:val="6"/>
    <w:link w:val="3"/>
    <w:qFormat/>
    <w:uiPriority w:val="99"/>
    <w:rPr>
      <w:rFonts w:ascii="Times New Roman" w:hAnsi="Times New Roman" w:eastAsia="宋体" w:cs="Times New Roman"/>
      <w:sz w:val="18"/>
      <w:szCs w:val="18"/>
    </w:rPr>
  </w:style>
  <w:style w:type="character" w:customStyle="1" w:styleId="8">
    <w:name w:val="页脚 字符"/>
    <w:basedOn w:val="6"/>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4638</Words>
  <Characters>4837</Characters>
  <Lines>8</Lines>
  <Paragraphs>2</Paragraphs>
  <TotalTime>3</TotalTime>
  <ScaleCrop>false</ScaleCrop>
  <LinksUpToDate>false</LinksUpToDate>
  <CharactersWithSpaces>5444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2021-03-23T11:36:00Z</dcterms:created>
  <dc:creator>ZJGSU</dc:creator>
  <cp:lastModifiedBy>Casual</cp:lastModifiedBy>
  <dcterms:modified xsi:type="dcterms:W3CDTF">2024-12-24T07:02:08Z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225408DD952E48368192B9F6B91EED74_12</vt:lpwstr>
  </property>
</Properties>
</file>