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59"/>
        <w:contextualSpacing/>
        <w:rPr>
          <w:rFonts w:hint="default" w:eastAsia="宋体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宪法学复习资料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59"/>
        <w:contextualSpacing/>
        <w:textAlignment w:val="auto"/>
        <w:rPr>
          <w:rFonts w:ascii="黑体" w:hAnsi="黑体" w:eastAsia="黑体"/>
          <w:bCs/>
          <w:color w:val="auto"/>
          <w:sz w:val="24"/>
        </w:rPr>
      </w:pPr>
      <w:r>
        <w:rPr>
          <w:rFonts w:hint="eastAsia" w:ascii="黑体" w:hAnsi="黑体" w:eastAsia="黑体"/>
          <w:bCs/>
          <w:color w:val="auto"/>
          <w:sz w:val="24"/>
        </w:rPr>
        <w:t>一、</w:t>
      </w:r>
      <w:r>
        <w:rPr>
          <w:rFonts w:ascii="黑体" w:hAnsi="黑体" w:eastAsia="黑体"/>
          <w:bCs/>
          <w:color w:val="auto"/>
          <w:sz w:val="24"/>
        </w:rPr>
        <w:t>简答题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59" w:firstLine="424" w:firstLineChars="202"/>
        <w:contextualSpacing/>
        <w:textAlignment w:val="auto"/>
        <w:rPr>
          <w:rFonts w:ascii="宋体" w:hAnsi="宋体"/>
          <w:bCs/>
          <w:color w:val="auto"/>
          <w:szCs w:val="21"/>
        </w:rPr>
      </w:pPr>
      <w:r>
        <w:rPr>
          <w:rFonts w:ascii="宋体" w:hAnsi="宋体"/>
          <w:bCs/>
          <w:color w:val="auto"/>
          <w:szCs w:val="21"/>
        </w:rPr>
        <w:t>1. 简述宪法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的分类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default" w:ascii="宋体" w:hAnsi="宋体"/>
          <w:bCs/>
          <w:color w:val="auto"/>
          <w:szCs w:val="21"/>
          <w:lang w:val="en-US"/>
        </w:rPr>
      </w:pPr>
      <w:r>
        <w:rPr>
          <w:rFonts w:hint="eastAsia" w:ascii="宋体" w:hAnsi="宋体"/>
          <w:bCs/>
          <w:color w:val="auto"/>
          <w:szCs w:val="21"/>
        </w:rPr>
        <w:t xml:space="preserve">2. </w:t>
      </w:r>
      <w:r>
        <w:rPr>
          <w:rFonts w:ascii="宋体" w:hAnsi="宋体"/>
          <w:bCs/>
          <w:color w:val="auto"/>
          <w:szCs w:val="21"/>
        </w:rPr>
        <w:t>简述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我国</w:t>
      </w:r>
      <w:r>
        <w:rPr>
          <w:rFonts w:hint="eastAsia" w:ascii="宋体" w:hAnsi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宪法》的结构体系。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ascii="宋体" w:hAnsi="宋体"/>
          <w:bCs/>
          <w:color w:val="C00000"/>
          <w:szCs w:val="21"/>
        </w:rPr>
      </w:pPr>
    </w:p>
    <w:p>
      <w:pPr>
        <w:ind w:right="-159"/>
        <w:contextualSpacing/>
        <w:rPr>
          <w:rFonts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ascii="宋体" w:hAnsi="宋体"/>
          <w:bCs/>
          <w:color w:val="auto"/>
          <w:szCs w:val="21"/>
        </w:rPr>
      </w:pPr>
      <w:r>
        <w:rPr>
          <w:rFonts w:ascii="宋体" w:hAnsi="宋体"/>
          <w:bCs/>
          <w:color w:val="auto"/>
          <w:szCs w:val="21"/>
        </w:rPr>
        <w:t xml:space="preserve">3. </w:t>
      </w:r>
      <w:r>
        <w:rPr>
          <w:rFonts w:hint="eastAsia" w:ascii="宋体" w:hAnsi="宋体"/>
          <w:bCs/>
          <w:color w:val="auto"/>
          <w:szCs w:val="21"/>
        </w:rPr>
        <w:t>简述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宪法解释的原则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ascii="宋体" w:hAnsi="宋体"/>
          <w:bCs/>
          <w:color w:val="auto"/>
          <w:szCs w:val="21"/>
        </w:rPr>
      </w:pPr>
      <w:r>
        <w:rPr>
          <w:rFonts w:ascii="宋体" w:hAnsi="宋体"/>
          <w:bCs/>
          <w:color w:val="auto"/>
          <w:szCs w:val="21"/>
        </w:rPr>
        <w:t xml:space="preserve">4. 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简述公民的基本权利有哪些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</w:p>
    <w:p>
      <w:pPr>
        <w:ind w:right="-159" w:firstLine="424" w:firstLineChars="202"/>
        <w:contextualSpacing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 xml:space="preserve">5. 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简述国家主席的职权有哪些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/>
          <w:bCs/>
          <w:color w:val="C00000"/>
          <w:szCs w:val="21"/>
        </w:rPr>
      </w:pPr>
    </w:p>
    <w:p>
      <w:pPr>
        <w:ind w:right="-159"/>
        <w:contextualSpacing/>
        <w:rPr>
          <w:rFonts w:ascii="黑体" w:hAnsi="黑体" w:eastAsia="黑体"/>
          <w:bCs/>
          <w:color w:val="auto"/>
          <w:sz w:val="24"/>
        </w:rPr>
      </w:pPr>
      <w:r>
        <w:rPr>
          <w:rFonts w:hint="eastAsia" w:ascii="黑体" w:hAnsi="黑体" w:eastAsia="黑体"/>
          <w:bCs/>
          <w:color w:val="auto"/>
          <w:sz w:val="24"/>
        </w:rPr>
        <w:t>二、</w:t>
      </w:r>
      <w:r>
        <w:rPr>
          <w:rFonts w:ascii="黑体" w:hAnsi="黑体" w:eastAsia="黑体"/>
          <w:bCs/>
          <w:color w:val="auto"/>
          <w:sz w:val="24"/>
        </w:rPr>
        <w:t>案例分析题</w:t>
      </w:r>
      <w:r>
        <w:rPr>
          <w:rFonts w:hint="eastAsia" w:ascii="黑体" w:hAnsi="黑体" w:eastAsia="黑体"/>
          <w:bCs/>
          <w:color w:val="auto"/>
          <w:sz w:val="24"/>
        </w:rPr>
        <w:t>（每题最低字数</w:t>
      </w:r>
      <w:r>
        <w:rPr>
          <w:rFonts w:ascii="黑体" w:hAnsi="黑体" w:eastAsia="黑体"/>
          <w:bCs/>
          <w:color w:val="auto"/>
          <w:sz w:val="24"/>
        </w:rPr>
        <w:t>200</w:t>
      </w:r>
      <w:r>
        <w:rPr>
          <w:rFonts w:hint="eastAsia" w:ascii="黑体" w:hAnsi="黑体" w:eastAsia="黑体"/>
          <w:bCs/>
          <w:color w:val="auto"/>
          <w:sz w:val="24"/>
        </w:rPr>
        <w:t>字）</w:t>
      </w:r>
    </w:p>
    <w:p>
      <w:pPr>
        <w:ind w:right="-159" w:firstLine="426" w:firstLineChars="202"/>
        <w:contextualSpacing/>
        <w:rPr>
          <w:rFonts w:hint="default" w:ascii="宋体" w:hAnsi="宋体" w:eastAsia="宋体"/>
          <w:b/>
          <w:bCs/>
          <w:color w:val="auto"/>
          <w:szCs w:val="21"/>
          <w:lang w:val="en-US" w:eastAsia="zh-CN"/>
        </w:rPr>
      </w:pPr>
      <w:r>
        <w:rPr>
          <w:rFonts w:ascii="宋体" w:hAnsi="宋体"/>
          <w:b/>
          <w:bCs/>
          <w:color w:val="auto"/>
          <w:szCs w:val="21"/>
        </w:rPr>
        <w:t>（一）</w:t>
      </w:r>
      <w:r>
        <w:rPr>
          <w:rFonts w:hint="eastAsia" w:ascii="宋体" w:hAnsi="宋体"/>
          <w:b/>
          <w:bCs/>
          <w:color w:val="auto"/>
          <w:szCs w:val="21"/>
          <w:lang w:eastAsia="zh-CN"/>
        </w:rPr>
        <w:t>“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劣迹艺人</w:t>
      </w:r>
      <w:r>
        <w:rPr>
          <w:rFonts w:hint="eastAsia" w:ascii="宋体" w:hAnsi="宋体"/>
          <w:b/>
          <w:bCs/>
          <w:color w:val="auto"/>
          <w:szCs w:val="21"/>
          <w:lang w:eastAsia="zh-CN"/>
        </w:rPr>
        <w:t>”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何去何从？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 xml:space="preserve">材料一：《宪法》第42条规定：“中华人民共和国公民有劳动的权利和义务。” 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 xml:space="preserve">材料二：中国演出行业协会制定的《演出行业演艺人员从业自律管理办法》于2021年2月5日发布。该办法明确规定演艺人员应当自觉遵守的从业规范，涵盖遵守社会公德、坚守契约精神等。违反从业规范的，根据情节轻重及危害程度，可分别实施1年、3年、5年和永久等不同程度的行业联合抵制。 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材料三：2022年9月，北京警方在侦破一起违法犯罪案件中，将演员李某某（男，35岁）查获，该人对多次嫖娼的违法事实供认不讳，其已被依法予以行政拘留。央视记者通过权威渠道了解到，李某某为李易峰。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问题：请结合《宪法》第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42</w:t>
      </w:r>
      <w:r>
        <w:rPr>
          <w:rFonts w:hint="eastAsia" w:ascii="宋体" w:hAnsi="宋体"/>
          <w:bCs/>
          <w:color w:val="auto"/>
          <w:szCs w:val="21"/>
        </w:rPr>
        <w:t>条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的规定，对“抵制劣迹艺人”进行评析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ind w:right="-159"/>
        <w:contextualSpacing/>
        <w:rPr>
          <w:rFonts w:ascii="宋体" w:hAnsi="宋体"/>
          <w:b/>
          <w:bCs/>
          <w:color w:val="C00000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ascii="宋体" w:hAnsi="宋体"/>
          <w:b/>
          <w:bCs/>
          <w:color w:val="auto"/>
          <w:szCs w:val="21"/>
        </w:rPr>
      </w:pPr>
    </w:p>
    <w:p>
      <w:pPr>
        <w:ind w:right="-159"/>
        <w:contextualSpacing/>
        <w:rPr>
          <w:rFonts w:hint="eastAsia" w:ascii="宋体" w:hAnsi="宋体"/>
          <w:b/>
          <w:bCs/>
          <w:color w:val="auto"/>
          <w:szCs w:val="21"/>
        </w:rPr>
      </w:pPr>
      <w:r>
        <w:rPr>
          <w:rFonts w:ascii="宋体" w:hAnsi="宋体"/>
          <w:b/>
          <w:bCs/>
          <w:color w:val="auto"/>
          <w:szCs w:val="21"/>
        </w:rPr>
        <w:t>（</w:t>
      </w:r>
      <w:r>
        <w:rPr>
          <w:rFonts w:hint="eastAsia" w:ascii="宋体" w:hAnsi="宋体"/>
          <w:b/>
          <w:bCs/>
          <w:color w:val="auto"/>
          <w:szCs w:val="21"/>
        </w:rPr>
        <w:t>二</w:t>
      </w:r>
      <w:r>
        <w:rPr>
          <w:rFonts w:ascii="宋体" w:hAnsi="宋体"/>
          <w:b/>
          <w:bCs/>
          <w:color w:val="auto"/>
          <w:szCs w:val="21"/>
        </w:rPr>
        <w:t>）</w:t>
      </w: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代孕合法化</w:t>
      </w:r>
      <w:r>
        <w:rPr>
          <w:rFonts w:hint="eastAsia" w:ascii="宋体" w:hAnsi="宋体"/>
          <w:b/>
          <w:bCs/>
          <w:color w:val="auto"/>
          <w:szCs w:val="21"/>
        </w:rPr>
        <w:t>？</w:t>
      </w:r>
    </w:p>
    <w:p>
      <w:pPr>
        <w:ind w:right="-159" w:firstLine="424" w:firstLineChars="202"/>
        <w:contextualSpacing/>
        <w:rPr>
          <w:rFonts w:hint="default" w:ascii="宋体" w:hAnsi="宋体" w:eastAsia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</w:rPr>
        <w:t>材料</w:t>
      </w:r>
      <w:r>
        <w:rPr>
          <w:rFonts w:ascii="宋体" w:hAnsi="宋体"/>
          <w:bCs/>
          <w:color w:val="auto"/>
          <w:szCs w:val="21"/>
        </w:rPr>
        <w:t>一：</w:t>
      </w:r>
      <w:r>
        <w:rPr>
          <w:rFonts w:hint="eastAsia" w:ascii="宋体" w:hAnsi="宋体"/>
          <w:bCs/>
          <w:color w:val="auto"/>
          <w:szCs w:val="21"/>
          <w:lang w:eastAsia="zh-CN"/>
        </w:rPr>
        <w:t>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宪法</w:t>
      </w:r>
      <w:r>
        <w:rPr>
          <w:rFonts w:hint="eastAsia" w:ascii="宋体" w:hAnsi="宋体"/>
          <w:bCs/>
          <w:color w:val="auto"/>
          <w:szCs w:val="21"/>
          <w:lang w:eastAsia="zh-CN"/>
        </w:rPr>
        <w:t>》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第49条规定：“婚姻、家庭、母亲和儿童受国家的保护。”</w:t>
      </w:r>
    </w:p>
    <w:p>
      <w:pPr>
        <w:ind w:right="-159" w:firstLine="424" w:firstLineChars="202"/>
        <w:contextualSpacing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材料</w:t>
      </w:r>
      <w:r>
        <w:rPr>
          <w:rFonts w:ascii="宋体" w:hAnsi="宋体"/>
          <w:bCs/>
          <w:color w:val="auto"/>
          <w:szCs w:val="21"/>
        </w:rPr>
        <w:t>二：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近年来，</w:t>
      </w:r>
      <w:r>
        <w:rPr>
          <w:rFonts w:hint="eastAsia" w:ascii="宋体" w:hAnsi="宋体"/>
          <w:bCs/>
          <w:color w:val="auto"/>
          <w:szCs w:val="21"/>
        </w:rPr>
        <w:t>全国人大代表提交建议，呼吁“有条件允许合法代孕”。建议指出，在有相对健全的法律制度规制下，代孕行为不宜对其一禁了之，代孕行为有利于促进社会发展。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问题：请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结合上述材料，谈谈你对代孕的看法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ind w:right="-159"/>
        <w:contextualSpacing/>
        <w:rPr>
          <w:rFonts w:hint="eastAsia" w:ascii="黑体" w:hAnsi="黑体" w:eastAsia="黑体"/>
          <w:bCs/>
          <w:color w:val="C00000"/>
          <w:sz w:val="24"/>
        </w:rPr>
      </w:pPr>
    </w:p>
    <w:p>
      <w:pPr>
        <w:ind w:right="-159"/>
        <w:contextualSpacing/>
        <w:rPr>
          <w:rFonts w:hint="eastAsia"/>
          <w:lang w:val="en-US" w:eastAsia="zh-CN"/>
        </w:rPr>
      </w:pPr>
      <w:r>
        <w:rPr>
          <w:rFonts w:ascii="黑体" w:hAnsi="黑体" w:eastAsia="黑体"/>
          <w:color w:val="C00000"/>
          <w:sz w:val="24"/>
        </w:rPr>
        <w:br w:type="page"/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宪法学复习资料参考答案</w:t>
      </w:r>
    </w:p>
    <w:p>
      <w:pPr>
        <w:ind w:right="-159"/>
        <w:contextualSpacing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一、</w:t>
      </w:r>
      <w:r>
        <w:rPr>
          <w:rFonts w:ascii="黑体" w:hAnsi="黑体" w:eastAsia="黑体"/>
          <w:bCs/>
          <w:sz w:val="24"/>
        </w:rPr>
        <w:t>简答题</w:t>
      </w:r>
    </w:p>
    <w:p>
      <w:pPr>
        <w:ind w:right="-159" w:firstLine="424" w:firstLineChars="202"/>
        <w:contextualSpacing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ascii="宋体" w:hAnsi="宋体"/>
          <w:bCs/>
          <w:color w:val="auto"/>
          <w:szCs w:val="21"/>
        </w:rPr>
        <w:t>1. 简述宪法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的分类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（1）</w:t>
      </w:r>
      <w:r>
        <w:rPr>
          <w:rFonts w:hint="default" w:ascii="宋体" w:hAnsi="宋体"/>
          <w:bCs/>
          <w:szCs w:val="21"/>
          <w:lang w:val="en-US" w:eastAsia="zh-CN"/>
        </w:rPr>
        <w:t>资本主义类型的宪法和社会主义类型的宪法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（2）</w:t>
      </w:r>
      <w:r>
        <w:rPr>
          <w:rFonts w:hint="default" w:ascii="宋体" w:hAnsi="宋体"/>
          <w:bCs/>
          <w:szCs w:val="21"/>
          <w:lang w:val="en-US" w:eastAsia="zh-CN"/>
        </w:rPr>
        <w:t>成文宪法和不成文宪法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（3）</w:t>
      </w:r>
      <w:r>
        <w:rPr>
          <w:rFonts w:hint="default" w:ascii="宋体" w:hAnsi="宋体"/>
          <w:bCs/>
          <w:szCs w:val="21"/>
          <w:lang w:val="en-US" w:eastAsia="zh-CN"/>
        </w:rPr>
        <w:t>刚性宪法和柔性宪法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（4）</w:t>
      </w:r>
      <w:r>
        <w:rPr>
          <w:rFonts w:hint="default" w:ascii="宋体" w:hAnsi="宋体"/>
          <w:bCs/>
          <w:szCs w:val="21"/>
          <w:lang w:val="en-US" w:eastAsia="zh-CN"/>
        </w:rPr>
        <w:t>钦定宪法、民定宪法和协定宪法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（5）</w:t>
      </w:r>
      <w:r>
        <w:rPr>
          <w:rFonts w:hint="default" w:ascii="宋体" w:hAnsi="宋体"/>
          <w:bCs/>
          <w:szCs w:val="21"/>
          <w:lang w:val="en-US" w:eastAsia="zh-CN"/>
        </w:rPr>
        <w:t>近代宪法和现代宪法</w:t>
      </w:r>
      <w:r>
        <w:rPr>
          <w:rFonts w:hint="eastAsia" w:ascii="宋体" w:hAnsi="宋体"/>
          <w:bCs/>
          <w:szCs w:val="21"/>
          <w:lang w:val="en-US" w:eastAsia="zh-CN"/>
        </w:rPr>
        <w:t>。</w:t>
      </w:r>
    </w:p>
    <w:p>
      <w:pPr>
        <w:ind w:right="-159"/>
        <w:contextualSpacing/>
        <w:rPr>
          <w:rFonts w:hint="eastAsia" w:ascii="宋体" w:hAnsi="宋体"/>
          <w:bCs/>
          <w:szCs w:val="21"/>
        </w:rPr>
      </w:pPr>
    </w:p>
    <w:p>
      <w:pPr>
        <w:numPr>
          <w:ilvl w:val="0"/>
          <w:numId w:val="1"/>
        </w:num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简述我国《宪法》的结构体系。</w:t>
      </w:r>
    </w:p>
    <w:p>
      <w:pPr>
        <w:numPr>
          <w:ilvl w:val="0"/>
          <w:numId w:val="2"/>
        </w:num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序言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numPr>
          <w:ilvl w:val="0"/>
          <w:numId w:val="2"/>
        </w:num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第一章 总纲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numPr>
          <w:ilvl w:val="0"/>
          <w:numId w:val="2"/>
        </w:num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第二章 公民的基本权利和义务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numPr>
          <w:ilvl w:val="0"/>
          <w:numId w:val="2"/>
        </w:num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第三章 国家机构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numPr>
          <w:ilvl w:val="0"/>
          <w:numId w:val="2"/>
        </w:num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第四章 国旗、国歌、国徽、首都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>
      <w:pPr>
        <w:ind w:right="-159" w:firstLine="424" w:firstLineChars="202"/>
        <w:contextualSpacing/>
        <w:rPr>
          <w:rFonts w:ascii="宋体" w:hAnsi="宋体"/>
          <w:bCs/>
          <w:szCs w:val="21"/>
        </w:rPr>
      </w:pPr>
    </w:p>
    <w:p>
      <w:pPr>
        <w:ind w:right="-159" w:firstLine="424" w:firstLineChars="202"/>
        <w:contextualSpacing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ascii="宋体" w:hAnsi="宋体"/>
          <w:bCs/>
          <w:szCs w:val="21"/>
        </w:rPr>
        <w:t xml:space="preserve">3. </w:t>
      </w:r>
      <w:r>
        <w:rPr>
          <w:rFonts w:hint="eastAsia" w:ascii="宋体" w:hAnsi="宋体"/>
          <w:bCs/>
          <w:color w:val="auto"/>
          <w:szCs w:val="21"/>
        </w:rPr>
        <w:t>简述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宪法解释的原则</w:t>
      </w:r>
      <w:r>
        <w:rPr>
          <w:rFonts w:hint="eastAsia" w:ascii="宋体" w:hAnsi="宋体"/>
          <w:bCs/>
          <w:szCs w:val="21"/>
          <w:lang w:val="en-US" w:eastAsia="zh-CN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符合宪法的基本原则和基本精神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符合宪法规定的国家根本任务和目的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协调宪法的基本原则和内容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协调宪法规范与社会实际的联系</w:t>
      </w:r>
      <w:r>
        <w:rPr>
          <w:rFonts w:hint="eastAsia" w:ascii="宋体" w:hAnsi="宋体"/>
          <w:bCs/>
          <w:szCs w:val="21"/>
          <w:lang w:eastAsia="zh-CN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ascii="宋体" w:hAnsi="宋体"/>
          <w:bCs/>
          <w:szCs w:val="21"/>
        </w:rPr>
        <w:t xml:space="preserve">4. 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简述公民的基本权利有哪些。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default" w:ascii="宋体" w:hAnsi="宋体"/>
          <w:bCs/>
          <w:szCs w:val="21"/>
          <w:lang w:val="en-US" w:eastAsia="zh-CN"/>
        </w:rPr>
        <w:t>平等权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（2）</w:t>
      </w:r>
      <w:r>
        <w:rPr>
          <w:rFonts w:hint="default" w:ascii="宋体" w:hAnsi="宋体"/>
          <w:bCs/>
          <w:szCs w:val="21"/>
          <w:lang w:val="en-US" w:eastAsia="zh-CN"/>
        </w:rPr>
        <w:t>政治权利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（3）</w:t>
      </w:r>
      <w:r>
        <w:rPr>
          <w:rFonts w:hint="default" w:ascii="宋体" w:hAnsi="宋体"/>
          <w:bCs/>
          <w:szCs w:val="21"/>
          <w:lang w:val="en-US" w:eastAsia="zh-CN"/>
        </w:rPr>
        <w:t>宗教信仰自由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（4）</w:t>
      </w:r>
      <w:r>
        <w:rPr>
          <w:rFonts w:hint="default" w:ascii="宋体" w:hAnsi="宋体"/>
          <w:bCs/>
          <w:szCs w:val="21"/>
          <w:lang w:val="en-US" w:eastAsia="zh-CN"/>
        </w:rPr>
        <w:t>人身自由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（5）</w:t>
      </w:r>
      <w:r>
        <w:rPr>
          <w:rFonts w:hint="default" w:ascii="宋体" w:hAnsi="宋体"/>
          <w:bCs/>
          <w:szCs w:val="21"/>
          <w:lang w:val="en-US" w:eastAsia="zh-CN"/>
        </w:rPr>
        <w:t>社会经济权利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（6）</w:t>
      </w:r>
      <w:r>
        <w:rPr>
          <w:rFonts w:hint="default" w:ascii="宋体" w:hAnsi="宋体"/>
          <w:bCs/>
          <w:szCs w:val="21"/>
          <w:lang w:val="en-US" w:eastAsia="zh-CN"/>
        </w:rPr>
        <w:t>文化教育权利</w:t>
      </w:r>
      <w:r>
        <w:rPr>
          <w:rFonts w:hint="eastAsia" w:ascii="宋体" w:hAnsi="宋体"/>
          <w:bCs/>
          <w:szCs w:val="21"/>
          <w:lang w:val="en-US" w:eastAsia="zh-CN"/>
        </w:rPr>
        <w:t>；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（7）</w:t>
      </w:r>
      <w:r>
        <w:rPr>
          <w:rFonts w:hint="default" w:ascii="宋体" w:hAnsi="宋体"/>
          <w:bCs/>
          <w:szCs w:val="21"/>
          <w:lang w:val="en-US" w:eastAsia="zh-CN"/>
        </w:rPr>
        <w:t>监督权与请求权</w:t>
      </w:r>
      <w:r>
        <w:rPr>
          <w:rFonts w:hint="eastAsia" w:ascii="宋体" w:hAnsi="宋体"/>
          <w:bCs/>
          <w:szCs w:val="21"/>
          <w:lang w:val="en-US" w:eastAsia="zh-CN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</w:rPr>
      </w:pPr>
    </w:p>
    <w:p>
      <w:pPr>
        <w:ind w:right="-159" w:firstLine="424" w:firstLineChars="202"/>
        <w:contextualSpacing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5. 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简述国家主席的职权有哪些</w:t>
      </w:r>
      <w:r>
        <w:rPr>
          <w:rFonts w:ascii="宋体" w:hAnsi="宋体"/>
          <w:bCs/>
          <w:color w:val="auto"/>
          <w:szCs w:val="21"/>
        </w:rPr>
        <w:t>。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  <w:lang w:eastAsia="zh-CN"/>
        </w:rPr>
        <w:t>）公布法律、发布命令；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  <w:lang w:eastAsia="zh-CN"/>
        </w:rPr>
        <w:t>）任免权；</w:t>
      </w:r>
    </w:p>
    <w:p>
      <w:pPr>
        <w:ind w:right="-159" w:firstLine="424" w:firstLineChars="202"/>
        <w:contextualSpacing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hint="eastAsia" w:ascii="宋体" w:hAnsi="宋体"/>
          <w:bCs/>
          <w:szCs w:val="21"/>
          <w:lang w:eastAsia="zh-CN"/>
        </w:rPr>
        <w:t>）外事权；</w:t>
      </w:r>
    </w:p>
    <w:p>
      <w:pPr>
        <w:ind w:right="-159" w:firstLine="424" w:firstLineChars="202"/>
        <w:contextualSpacing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  <w:lang w:eastAsia="zh-CN"/>
        </w:rPr>
        <w:t>）授予荣誉权。</w:t>
      </w:r>
    </w:p>
    <w:p>
      <w:pPr>
        <w:ind w:right="-159"/>
        <w:contextualSpacing/>
        <w:rPr>
          <w:rFonts w:ascii="宋体" w:hAnsi="宋体"/>
          <w:bCs/>
          <w:szCs w:val="21"/>
        </w:rPr>
      </w:pPr>
      <w:bookmarkStart w:id="0" w:name="_GoBack"/>
      <w:bookmarkEnd w:id="0"/>
    </w:p>
    <w:p>
      <w:pPr>
        <w:ind w:right="-159"/>
        <w:contextualSpacing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二、</w:t>
      </w:r>
      <w:r>
        <w:rPr>
          <w:rFonts w:ascii="黑体" w:hAnsi="黑体" w:eastAsia="黑体"/>
          <w:bCs/>
          <w:sz w:val="24"/>
        </w:rPr>
        <w:t>案例分析题</w:t>
      </w:r>
      <w:r>
        <w:rPr>
          <w:rFonts w:hint="eastAsia" w:ascii="黑体" w:hAnsi="黑体" w:eastAsia="黑体"/>
          <w:bCs/>
          <w:sz w:val="24"/>
        </w:rPr>
        <w:t>（每题最低字数</w:t>
      </w:r>
      <w:r>
        <w:rPr>
          <w:rFonts w:ascii="黑体" w:hAnsi="黑体" w:eastAsia="黑体"/>
          <w:bCs/>
          <w:sz w:val="24"/>
        </w:rPr>
        <w:t>200</w:t>
      </w:r>
      <w:r>
        <w:rPr>
          <w:rFonts w:hint="eastAsia" w:ascii="黑体" w:hAnsi="黑体" w:eastAsia="黑体"/>
          <w:bCs/>
          <w:sz w:val="24"/>
        </w:rPr>
        <w:t>字）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1. 根据《宪法》第42条的规定，中华人民共和国公民有劳动的权利和义务。这意味着每个人都有权利通过合法劳动来谋生，并为自己的生计负责。同时，每个人也有义务通过自己的劳动为社会做出贡献。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在这个案例中，演员李某某因为多次嫖娼被行政拘留。他的行为违反了社会公德和法律法规，损害了社会公共利益和道德风尚。因此，中国演出行业协会制定的《演出行业演艺人员从业自律管理办法》对违反从业规范的演艺人员实施不同程度的行业联合抵制是合理的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虽然《宪法》保障了公民的劳动权利，但同时也要求公民遵守法律法规和社会公德。对于那些违法行为严重、劣迹斑斑的艺人，他们的行为已经超出了法律和社会公德的范围，因此对他们进行抵制是符合法律规定和社会公正原则的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2. 代孕合法化是一个复杂且具有争议性的问题，涉及伦理、法律、人权和社会价值等多个层面。根据《宪法》第49条，婚姻、家庭、母亲和儿童受国家保护，这体现了国家对家庭价值和儿童福利的重视。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从伦理角度来看，代孕可能被视为对女性身体的商业化利用，引发道德争议。然而，支持者认为，在严格法律规制下，代孕可以为不孕夫妇提供生育机会，实现其家庭构建的愿望，这与《宪法》保护家庭的原则相契合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法律层面上，代孕合法化需要确保代孕协议的合法性、代孕母亲的权益保护以及所生儿童的法律地位明确。这要求建立完善的法律框架，以避免剥削和人口贩卖等非法行为。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社会价值方面，代孕可能带来社会观念的转变，对于传统家庭模式和母职的理解提出挑战。同时，代孕也可能加剧社会不平等，因为经济条件较差的女性可能成为主要的代孕者。</w:t>
      </w:r>
    </w:p>
    <w:p>
      <w:pPr>
        <w:ind w:right="-159" w:firstLine="424" w:firstLineChars="202"/>
        <w:contextualSpacing/>
        <w:rPr>
          <w:rFonts w:hint="eastAsia" w:ascii="宋体" w:hAnsi="宋体" w:cs="宋体"/>
          <w:bCs/>
          <w:szCs w:val="21"/>
          <w:lang w:val="en-US" w:eastAsia="zh-CN"/>
        </w:rPr>
      </w:pPr>
    </w:p>
    <w:p>
      <w:pPr>
        <w:ind w:right="-159" w:firstLine="424" w:firstLineChars="202"/>
        <w:contextualSpacing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代孕合法化需要在保护女性权益、尊重儿童福利的前提下，通过严格的法律规制来审慎考虑。这包括制定详细的法律程序、保障代孕母亲和儿童的权利，并防止潜在的剥削和不平等现象。只有在确保这些措施到位的情况下，代孕才能在不违背《宪法》精神的同时，为社会带来积极的影响。</w:t>
      </w:r>
    </w:p>
    <w:p>
      <w:pPr>
        <w:ind w:right="-159" w:firstLine="424" w:firstLineChars="202"/>
        <w:contextualSpacing/>
        <w:rPr>
          <w:rFonts w:hint="eastAsia" w:ascii="宋体" w:hAnsi="宋体" w:eastAsia="宋体" w:cs="宋体"/>
          <w:bCs/>
          <w:szCs w:val="21"/>
          <w:lang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footnotePr>
        <w:numFmt w:val="decimal"/>
      </w:footnote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092B43"/>
    <w:multiLevelType w:val="singleLevel"/>
    <w:tmpl w:val="8C092B4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F5C542F"/>
    <w:multiLevelType w:val="singleLevel"/>
    <w:tmpl w:val="9F5C542F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GQyZjRjY2ZhMTJlYmYwN2M1MmQ4MjlmMDk1OTYifQ=="/>
  </w:docVars>
  <w:rsids>
    <w:rsidRoot w:val="3C702B4F"/>
    <w:rsid w:val="016F45ED"/>
    <w:rsid w:val="016F4A1F"/>
    <w:rsid w:val="04273281"/>
    <w:rsid w:val="044357C3"/>
    <w:rsid w:val="04455163"/>
    <w:rsid w:val="045B70AB"/>
    <w:rsid w:val="04950A6D"/>
    <w:rsid w:val="05C21AD7"/>
    <w:rsid w:val="068B38CA"/>
    <w:rsid w:val="06A679D0"/>
    <w:rsid w:val="0A274849"/>
    <w:rsid w:val="0AAD48DF"/>
    <w:rsid w:val="1012219A"/>
    <w:rsid w:val="14100DA5"/>
    <w:rsid w:val="16281F43"/>
    <w:rsid w:val="16B80194"/>
    <w:rsid w:val="17470709"/>
    <w:rsid w:val="178A77E4"/>
    <w:rsid w:val="199B6470"/>
    <w:rsid w:val="1D8426B2"/>
    <w:rsid w:val="1E683484"/>
    <w:rsid w:val="1FA936D5"/>
    <w:rsid w:val="214D15E5"/>
    <w:rsid w:val="21EE2002"/>
    <w:rsid w:val="23205905"/>
    <w:rsid w:val="264C112B"/>
    <w:rsid w:val="268B1F15"/>
    <w:rsid w:val="276205CD"/>
    <w:rsid w:val="27676FE2"/>
    <w:rsid w:val="278D497C"/>
    <w:rsid w:val="29CA1747"/>
    <w:rsid w:val="2CF634D6"/>
    <w:rsid w:val="2DAE2749"/>
    <w:rsid w:val="2E085104"/>
    <w:rsid w:val="30921D48"/>
    <w:rsid w:val="34D70A24"/>
    <w:rsid w:val="34EE46AD"/>
    <w:rsid w:val="3C702B4F"/>
    <w:rsid w:val="40C44595"/>
    <w:rsid w:val="43D47449"/>
    <w:rsid w:val="4563016B"/>
    <w:rsid w:val="49CC5F19"/>
    <w:rsid w:val="4DAC0ADC"/>
    <w:rsid w:val="50670DE3"/>
    <w:rsid w:val="520B3D6F"/>
    <w:rsid w:val="59A857F1"/>
    <w:rsid w:val="5AA101FB"/>
    <w:rsid w:val="602D4DFC"/>
    <w:rsid w:val="650B04D7"/>
    <w:rsid w:val="65722EEA"/>
    <w:rsid w:val="67036B98"/>
    <w:rsid w:val="6B27473B"/>
    <w:rsid w:val="6C2B48BE"/>
    <w:rsid w:val="6F561066"/>
    <w:rsid w:val="70B679E8"/>
    <w:rsid w:val="727F342B"/>
    <w:rsid w:val="74700B8D"/>
    <w:rsid w:val="76772203"/>
    <w:rsid w:val="76DA2684"/>
    <w:rsid w:val="7D062C0E"/>
    <w:rsid w:val="7D42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1052</Words>
  <Characters>1085</Characters>
  <Lines>0</Lines>
  <Paragraphs>0</Paragraphs>
  <TotalTime>0</TotalTime>
  <ScaleCrop>false</ScaleCrop>
  <LinksUpToDate>false</LinksUpToDate>
  <CharactersWithSpaces>1102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2021-03-20T07:58:00Z</dcterms:created>
  <dc:creator>韩宁</dc:creator>
  <cp:lastModifiedBy>育华教育叶燮燮</cp:lastModifiedBy>
  <dcterms:modified xsi:type="dcterms:W3CDTF">2024-06-07T05:41:31Z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6FEAE24EB86048CABB21B895C1354C07</vt:lpwstr>
  </property>
</Properties>
</file>