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bCs/>
          <w:sz w:val="21"/>
          <w:szCs w:val="21"/>
          <w:lang w:val="en-US"/>
        </w:rPr>
      </w:pPr>
      <w:r>
        <w:rPr>
          <w:rFonts w:hint="eastAsia" w:ascii="宋体" w:hAnsi="宋体" w:eastAsia="宋体" w:cs="宋体"/>
          <w:bCs/>
          <w:sz w:val="21"/>
          <w:szCs w:val="21"/>
          <w:u w:val="single"/>
          <w:lang w:val="en-US" w:eastAsia="zh-CN"/>
        </w:rPr>
        <w:t>幼儿行为观察与矫正复习资料</w:t>
      </w:r>
    </w:p>
    <w:p>
      <w:pPr>
        <w:keepNext w:val="0"/>
        <w:keepLines w:val="0"/>
        <w:pageBreakBefore w:val="0"/>
        <w:widowControl w:val="0"/>
        <w:shd w:val="clear" w:color="auto" w:fill="FFFFFF"/>
        <w:kinsoku/>
        <w:wordWrap/>
        <w:overflowPunct/>
        <w:topLinePunct w:val="0"/>
        <w:autoSpaceDE/>
        <w:autoSpaceDN/>
        <w:bidi w:val="0"/>
        <w:adjustRightInd/>
        <w:snapToGrid w:val="0"/>
        <w:spacing w:before="157" w:beforeLines="50" w:line="240" w:lineRule="auto"/>
        <w:textAlignment w:val="auto"/>
        <w:rPr>
          <w:rFonts w:hint="eastAsia" w:ascii="宋体" w:hAnsi="宋体" w:eastAsia="宋体" w:cs="宋体"/>
          <w:sz w:val="21"/>
          <w:szCs w:val="21"/>
        </w:rPr>
      </w:pPr>
      <w:r>
        <w:rPr>
          <w:rFonts w:hint="eastAsia" w:ascii="宋体" w:hAnsi="宋体" w:eastAsia="宋体" w:cs="宋体"/>
          <w:b w:val="0"/>
          <w:bCs/>
          <w:sz w:val="21"/>
          <w:szCs w:val="21"/>
        </w:rPr>
        <w:t>一、填空题</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br w:type="textWrapping"/>
      </w:r>
      <w:r>
        <w:rPr>
          <w:rFonts w:hint="eastAsia" w:ascii="宋体" w:hAnsi="宋体" w:eastAsia="宋体" w:cs="宋体"/>
          <w:sz w:val="21"/>
          <w:szCs w:val="21"/>
        </w:rPr>
        <w:t>1、格塞尔认为，儿童对自己的行为能进行</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调节。</w:t>
      </w:r>
    </w:p>
    <w:p>
      <w:p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rPr>
        <w:t>2、可知度是指知觉行为的可行程度，反映的是知觉行为与</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之间的关系。</w:t>
      </w:r>
    </w:p>
    <w:p>
      <w:p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rPr>
        <w:t>3、斯金纳认为，人类的大多数行为属于</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行为。</w:t>
      </w:r>
    </w:p>
    <w:p>
      <w:p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rPr>
        <w:t>4、主客体之间的相互作用包涵两个方面的内容，其一是</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，其二是在外部形成客体之间的联系。</w:t>
      </w:r>
    </w:p>
    <w:p>
      <w:pPr>
        <w:numPr>
          <w:ilvl w:val="0"/>
          <w:numId w:val="1"/>
        </w:num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rPr>
        <w:t>皮亚杰认为，智慧的本质是</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，它是</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与顺化之间的平衡。</w:t>
      </w:r>
    </w:p>
    <w:p>
      <w:pPr>
        <w:numPr>
          <w:ilvl w:val="0"/>
          <w:numId w:val="0"/>
        </w:num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、格塞尔认为发展具有方向性，如</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，由中心向边缘，由粗大动作向精细动作发展。</w:t>
      </w:r>
    </w:p>
    <w:p>
      <w:pPr>
        <w:numPr>
          <w:ilvl w:val="0"/>
          <w:numId w:val="0"/>
        </w:num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、在知觉过程中，一面要抽取有用的信息，同时还要排除杂乱的、不相干的“噪音” ，这就需要</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w:t>
      </w:r>
    </w:p>
    <w:p>
      <w:pPr>
        <w:numPr>
          <w:ilvl w:val="0"/>
          <w:numId w:val="0"/>
        </w:num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、斯金纳的操作性行为主义理论不仅适合于儿童新行为的塑造， 而且也适用于对不良行为的</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w:t>
      </w:r>
    </w:p>
    <w:p>
      <w:pPr>
        <w:numPr>
          <w:ilvl w:val="0"/>
          <w:numId w:val="0"/>
        </w:num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、所有运算系统的集合，构成人的</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w:t>
      </w:r>
    </w:p>
    <w:p>
      <w:pPr>
        <w:numPr>
          <w:ilvl w:val="0"/>
          <w:numId w:val="0"/>
        </w:numPr>
        <w:shd w:val="clear" w:color="auto" w:fill="FFFFFF"/>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、维果斯基认为 3 岁前的儿童， 按照自己的大纲进行学习，故教学具有很大的自发性， 称为</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sz w:val="21"/>
          <w:szCs w:val="21"/>
        </w:rPr>
        <w:t xml:space="preserve"> 。</w:t>
      </w:r>
    </w:p>
    <w:p>
      <w:pPr>
        <w:keepNext w:val="0"/>
        <w:keepLines w:val="0"/>
        <w:pageBreakBefore w:val="0"/>
        <w:widowControl w:val="0"/>
        <w:shd w:val="clear" w:color="auto" w:fill="FFFFFF"/>
        <w:kinsoku/>
        <w:wordWrap/>
        <w:overflowPunct/>
        <w:topLinePunct w:val="0"/>
        <w:autoSpaceDE/>
        <w:autoSpaceDN/>
        <w:bidi w:val="0"/>
        <w:adjustRightInd/>
        <w:snapToGrid w:val="0"/>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二、单向选择题 </w:t>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1、格塞尔既重视儿童的行为模式，还重视什么？（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A.量变</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B.个别差异</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C.质变</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D.相互作用</w:t>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2、吉布森认为，儿童知觉特异性的增加，其含义是（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A.知觉越来越深刻</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B.知觉越来越广阔</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C.知觉越来越准确</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D.知觉越来越灵活</w:t>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3、斯金纳把我们想要的操作性行为逐渐习得的过程称为（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A.强化</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B.习惯</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C.塑造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D.改造</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4、班杜拉认为当一个人达到自设的标准时，他会对自己实行什么？（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A.自我封闭</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B.自我控制</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C.自我强化</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D.自我体验</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5、斯金纳把人想要消退一个已习得行为的过程称为什么？（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A.退化</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B.矫正</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C.消亡</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D.遗忘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6、鲍尔毕将婴幼儿的行为分为四个系统，分别为警觉-恐惧系统、探索行为系统、指向他人的交往行为系统和（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A.固定反应行为系统</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B.目标矫正系统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C.刺激-反应行为系统</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D.依恋行为系统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7、习性学强调对行为的起因和功能的看法，因此该理论的核心概念</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A.学习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B.发展</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C.行为</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D.适应</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8、华生认为，为了使每一练习单元的效率越高，那么在特定限度内练习的次数应（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A.递增</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B.适量</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C.越少</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D.越多</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9、斯金纳认为，无论是积极强化还是消极强化，对反应的概率都能（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A.保持不变</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B.减弱</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C.增强</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D.守恒</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10、儿童形成依恋有赖于认知的发展，要形成依恋必须建立三方面的表征，并构成了儿童的（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A.依恋模式</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B.认知地图</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C.自我认识</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D.环境认识</w:t>
      </w:r>
    </w:p>
    <w:p>
      <w:pPr>
        <w:keepNext w:val="0"/>
        <w:keepLines w:val="0"/>
        <w:pageBreakBefore w:val="0"/>
        <w:widowControl w:val="0"/>
        <w:shd w:val="clear" w:color="auto" w:fill="FFFFFF"/>
        <w:kinsoku/>
        <w:wordWrap/>
        <w:overflowPunct/>
        <w:topLinePunct w:val="0"/>
        <w:autoSpaceDE/>
        <w:autoSpaceDN/>
        <w:bidi w:val="0"/>
        <w:adjustRightInd/>
        <w:snapToGrid w:val="0"/>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三、名词解释 </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1、行为： </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2、行为矫正：</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3、正强化：</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4、轶事记录法：</w:t>
      </w:r>
    </w:p>
    <w:p>
      <w:pPr>
        <w:keepNext w:val="0"/>
        <w:keepLines w:val="0"/>
        <w:pageBreakBefore w:val="0"/>
        <w:widowControl w:val="0"/>
        <w:shd w:val="clear" w:color="auto" w:fill="FFFFFF"/>
        <w:kinsoku/>
        <w:wordWrap/>
        <w:overflowPunct/>
        <w:topLinePunct w:val="0"/>
        <w:autoSpaceDE/>
        <w:autoSpaceDN/>
        <w:bidi w:val="0"/>
        <w:adjustRightInd/>
        <w:snapToGrid w:val="0"/>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四、简答题 </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1、什么是实况详录法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2、简述实施观察的注意事项</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3、简述什么是观察信度及其两种常用信度。</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4.一般观察和专业观察的区别</w:t>
      </w:r>
    </w:p>
    <w:p>
      <w:pPr>
        <w:keepNext w:val="0"/>
        <w:keepLines w:val="0"/>
        <w:pageBreakBefore w:val="0"/>
        <w:widowControl w:val="0"/>
        <w:shd w:val="clear" w:color="auto" w:fill="FFFFFF"/>
        <w:kinsoku/>
        <w:wordWrap/>
        <w:overflowPunct/>
        <w:topLinePunct w:val="0"/>
        <w:autoSpaceDE/>
        <w:autoSpaceDN/>
        <w:bidi w:val="0"/>
        <w:adjustRightInd/>
        <w:snapToGrid w:val="0"/>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五、论述题 </w:t>
      </w:r>
    </w:p>
    <w:p>
      <w:pPr>
        <w:keepNext w:val="0"/>
        <w:keepLines w:val="0"/>
        <w:pageBreakBefore w:val="0"/>
        <w:widowControl w:val="0"/>
        <w:numPr>
          <w:ilvl w:val="0"/>
          <w:numId w:val="0"/>
        </w:numPr>
        <w:kinsoku/>
        <w:wordWrap/>
        <w:overflowPunct/>
        <w:topLinePunct w:val="0"/>
        <w:autoSpaceDE/>
        <w:autoSpaceDN/>
        <w:bidi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1.论述学前儿童行为观察的保密性原则及其重要性，在观察中，我们如何实施保密性原则？</w:t>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br w:type="page"/>
      </w:r>
    </w:p>
    <w:p>
      <w:pPr>
        <w:spacing w:line="240" w:lineRule="auto"/>
        <w:jc w:val="center"/>
        <w:rPr>
          <w:rFonts w:hint="eastAsia" w:ascii="宋体" w:hAnsi="宋体" w:eastAsia="宋体" w:cs="宋体"/>
          <w:sz w:val="21"/>
          <w:szCs w:val="21"/>
        </w:rPr>
      </w:pPr>
      <w:r>
        <w:rPr>
          <w:rFonts w:hint="eastAsia" w:ascii="宋体" w:hAnsi="宋体" w:eastAsia="宋体" w:cs="宋体"/>
          <w:b/>
          <w:sz w:val="21"/>
          <w:szCs w:val="21"/>
        </w:rPr>
        <w:t>参考答案</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b/>
          <w:sz w:val="21"/>
          <w:szCs w:val="21"/>
        </w:rPr>
        <w:t>一、填空题</w:t>
      </w:r>
      <w:r>
        <w:rPr>
          <w:rFonts w:hint="eastAsia" w:ascii="宋体" w:hAnsi="宋体" w:eastAsia="宋体" w:cs="宋体"/>
          <w:b/>
          <w:sz w:val="21"/>
          <w:szCs w:val="21"/>
          <w:lang w:val="en-US" w:eastAsia="zh-CN"/>
        </w:rPr>
        <w:t xml:space="preserve"> </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1、自我</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2、环境特性</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3、操作性</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4、内部动作的协调</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5、适应，同化</w:t>
      </w: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w:t>
      </w:r>
      <w:r>
        <w:rPr>
          <w:rFonts w:hint="eastAsia" w:ascii="宋体" w:hAnsi="宋体" w:eastAsia="宋体" w:cs="宋体"/>
          <w:sz w:val="21"/>
          <w:szCs w:val="21"/>
        </w:rPr>
        <w:t>由上而下</w:t>
      </w:r>
    </w:p>
    <w:p>
      <w:pPr>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numPr>
          <w:ilvl w:val="0"/>
          <w:numId w:val="2"/>
        </w:numPr>
        <w:snapToGrid w:val="0"/>
        <w:spacing w:line="240" w:lineRule="auto"/>
        <w:rPr>
          <w:rFonts w:hint="eastAsia" w:ascii="宋体" w:hAnsi="宋体" w:eastAsia="宋体" w:cs="宋体"/>
          <w:sz w:val="21"/>
          <w:szCs w:val="21"/>
          <w:lang w:eastAsia="zh-CN"/>
        </w:rPr>
      </w:pPr>
    </w:p>
    <w:p>
      <w:pPr>
        <w:numPr>
          <w:ilvl w:val="0"/>
          <w:numId w:val="2"/>
        </w:numPr>
        <w:snapToGrid w:val="0"/>
        <w:spacing w:line="240" w:lineRule="auto"/>
        <w:ind w:left="0" w:leftChars="0" w:firstLine="0" w:firstLineChars="0"/>
        <w:rPr>
          <w:rFonts w:hint="eastAsia" w:ascii="宋体" w:hAnsi="宋体" w:eastAsia="宋体" w:cs="宋体"/>
          <w:sz w:val="21"/>
          <w:szCs w:val="21"/>
          <w:lang w:eastAsia="zh-CN"/>
        </w:rPr>
      </w:pP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w:t>
      </w:r>
    </w:p>
    <w:p>
      <w:pPr>
        <w:tabs>
          <w:tab w:val="left" w:pos="1260"/>
          <w:tab w:val="left" w:pos="2520"/>
          <w:tab w:val="left" w:pos="3780"/>
          <w:tab w:val="left" w:pos="5040"/>
        </w:tabs>
        <w:snapToGrid w:val="0"/>
        <w:spacing w:line="240" w:lineRule="auto"/>
        <w:rPr>
          <w:rFonts w:hint="eastAsia" w:ascii="宋体" w:hAnsi="宋体" w:eastAsia="宋体" w:cs="宋体"/>
          <w:sz w:val="21"/>
          <w:szCs w:val="21"/>
        </w:rPr>
      </w:pPr>
      <w:r>
        <w:rPr>
          <w:rFonts w:hint="eastAsia" w:ascii="宋体" w:hAnsi="宋体" w:eastAsia="宋体" w:cs="宋体"/>
          <w:b/>
          <w:sz w:val="21"/>
          <w:szCs w:val="21"/>
        </w:rPr>
        <w:t>二、单选题</w:t>
      </w:r>
      <w:r>
        <w:rPr>
          <w:rFonts w:hint="eastAsia" w:ascii="宋体" w:hAnsi="宋体" w:eastAsia="宋体" w:cs="宋体"/>
          <w:b/>
          <w:sz w:val="21"/>
          <w:szCs w:val="21"/>
          <w:lang w:val="en-US" w:eastAsia="zh-CN"/>
        </w:rPr>
        <w:t xml:space="preserve"> </w:t>
      </w:r>
      <w:r>
        <w:rPr>
          <w:rFonts w:hint="eastAsia" w:ascii="宋体" w:hAnsi="宋体" w:eastAsia="宋体" w:cs="宋体"/>
          <w:sz w:val="21"/>
          <w:szCs w:val="21"/>
        </w:rPr>
        <w:br w:type="textWrapping"/>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 xml:space="preserve">B </w:t>
      </w:r>
      <w:r>
        <w:rPr>
          <w:rFonts w:hint="eastAsia" w:ascii="宋体" w:hAnsi="宋体" w:eastAsia="宋体" w:cs="宋体"/>
          <w:sz w:val="21"/>
          <w:szCs w:val="21"/>
          <w:lang w:val="en-US" w:eastAsia="zh-CN"/>
        </w:rPr>
        <w:tab/>
      </w: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 xml:space="preserve">C </w:t>
      </w:r>
      <w:r>
        <w:rPr>
          <w:rFonts w:hint="eastAsia" w:ascii="宋体" w:hAnsi="宋体" w:eastAsia="宋体" w:cs="宋体"/>
          <w:sz w:val="21"/>
          <w:szCs w:val="21"/>
          <w:lang w:val="en-US" w:eastAsia="zh-CN"/>
        </w:rPr>
        <w:tab/>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 xml:space="preserve">C </w:t>
      </w:r>
      <w:r>
        <w:rPr>
          <w:rFonts w:hint="eastAsia" w:ascii="宋体" w:hAnsi="宋体" w:eastAsia="宋体" w:cs="宋体"/>
          <w:sz w:val="21"/>
          <w:szCs w:val="21"/>
          <w:lang w:val="en-US" w:eastAsia="zh-CN"/>
        </w:rPr>
        <w:tab/>
      </w: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 xml:space="preserve">B </w:t>
      </w:r>
    </w:p>
    <w:p>
      <w:pPr>
        <w:tabs>
          <w:tab w:val="left" w:pos="1260"/>
          <w:tab w:val="left" w:pos="2520"/>
          <w:tab w:val="left" w:pos="3780"/>
          <w:tab w:val="left" w:pos="5040"/>
        </w:tabs>
        <w:snapToGrid w:val="0"/>
        <w:spacing w:line="240" w:lineRule="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 xml:space="preserve">D </w:t>
      </w:r>
      <w:r>
        <w:rPr>
          <w:rFonts w:hint="eastAsia" w:ascii="宋体" w:hAnsi="宋体" w:eastAsia="宋体" w:cs="宋体"/>
          <w:sz w:val="21"/>
          <w:szCs w:val="21"/>
          <w:lang w:val="en-US" w:eastAsia="zh-CN"/>
        </w:rPr>
        <w:tab/>
      </w: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 xml:space="preserve">C </w:t>
      </w:r>
      <w:r>
        <w:rPr>
          <w:rFonts w:hint="eastAsia" w:ascii="宋体" w:hAnsi="宋体" w:eastAsia="宋体" w:cs="宋体"/>
          <w:sz w:val="21"/>
          <w:szCs w:val="21"/>
          <w:lang w:val="en-US" w:eastAsia="zh-CN"/>
        </w:rPr>
        <w:tab/>
      </w: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br w:type="textWrapping"/>
      </w:r>
    </w:p>
    <w:p>
      <w:pPr>
        <w:tabs>
          <w:tab w:val="left" w:pos="1260"/>
          <w:tab w:val="left" w:pos="2520"/>
          <w:tab w:val="left" w:pos="3780"/>
          <w:tab w:val="left" w:pos="5040"/>
        </w:tabs>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rPr>
        <w:t>三、名词解释</w:t>
      </w:r>
      <w:r>
        <w:rPr>
          <w:rFonts w:hint="eastAsia" w:ascii="宋体" w:hAnsi="宋体" w:eastAsia="宋体" w:cs="宋体"/>
          <w:sz w:val="21"/>
          <w:szCs w:val="21"/>
          <w:lang w:val="en-US" w:eastAsia="zh-CN"/>
        </w:rPr>
        <w:t xml:space="preserve"> </w:t>
      </w:r>
    </w:p>
    <w:p>
      <w:pPr>
        <w:tabs>
          <w:tab w:val="left" w:pos="1260"/>
          <w:tab w:val="left" w:pos="2520"/>
          <w:tab w:val="left" w:pos="3780"/>
          <w:tab w:val="left" w:pos="5040"/>
        </w:tabs>
        <w:snapToGrid w:val="0"/>
        <w:spacing w:line="240" w:lineRule="auto"/>
        <w:rPr>
          <w:rFonts w:hint="eastAsia" w:ascii="宋体" w:hAnsi="宋体" w:eastAsia="宋体" w:cs="宋体"/>
          <w:sz w:val="21"/>
          <w:szCs w:val="21"/>
        </w:rPr>
      </w:pPr>
      <w:r>
        <w:rPr>
          <w:rFonts w:hint="eastAsia" w:ascii="宋体" w:hAnsi="宋体" w:eastAsia="宋体" w:cs="宋体"/>
          <w:sz w:val="21"/>
          <w:szCs w:val="21"/>
        </w:rPr>
        <w:t xml:space="preserve">1、行为：狭义上是指被人观察到或是能用仪器测得到的个体活动；广义是指除 直接能够测得的外显活动之外，还包括间接推知的内在心理历程。 </w:t>
      </w:r>
    </w:p>
    <w:p>
      <w:pPr>
        <w:spacing w:line="240" w:lineRule="auto"/>
        <w:rPr>
          <w:rFonts w:hint="eastAsia" w:ascii="宋体" w:hAnsi="宋体" w:eastAsia="宋体" w:cs="宋体"/>
          <w:sz w:val="21"/>
          <w:szCs w:val="21"/>
        </w:rPr>
      </w:pPr>
      <w:r>
        <w:rPr>
          <w:rFonts w:hint="eastAsia" w:ascii="宋体" w:hAnsi="宋体" w:eastAsia="宋体" w:cs="宋体"/>
          <w:sz w:val="21"/>
          <w:szCs w:val="21"/>
        </w:rPr>
        <w:t>2、行为矫正：</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 </w:t>
      </w:r>
    </w:p>
    <w:p>
      <w:pPr>
        <w:numPr>
          <w:ilvl w:val="0"/>
          <w:numId w:val="3"/>
        </w:numPr>
        <w:spacing w:line="240" w:lineRule="auto"/>
        <w:rPr>
          <w:rFonts w:hint="eastAsia" w:ascii="宋体" w:hAnsi="宋体" w:eastAsia="宋体" w:cs="宋体"/>
          <w:sz w:val="21"/>
          <w:szCs w:val="21"/>
        </w:rPr>
      </w:pPr>
      <w:r>
        <w:rPr>
          <w:rFonts w:hint="eastAsia" w:ascii="宋体" w:hAnsi="宋体" w:eastAsia="宋体" w:cs="宋体"/>
          <w:sz w:val="21"/>
          <w:szCs w:val="21"/>
        </w:rPr>
        <w:t>正强化：</w:t>
      </w:r>
    </w:p>
    <w:p>
      <w:pPr>
        <w:numPr>
          <w:numId w:val="0"/>
        </w:num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4、轶事记录法：轶事记录法是观察者将感兴趣的、并且认为是有价值的、有意义的行为和反应，以及可表现学前儿童个性的行为事件， 用叙述性的语言随时记录下来， 供分析儿童的行为所用。</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四、简答题</w:t>
      </w:r>
      <w:r>
        <w:rPr>
          <w:rFonts w:hint="eastAsia" w:ascii="宋体" w:hAnsi="宋体" w:eastAsia="宋体" w:cs="宋体"/>
          <w:sz w:val="21"/>
          <w:szCs w:val="21"/>
          <w:lang w:val="en-US" w:eastAsia="zh-CN"/>
        </w:rPr>
        <w:t xml:space="preserve">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答：</w:t>
      </w:r>
      <w:r>
        <w:rPr>
          <w:rFonts w:hint="eastAsia" w:ascii="宋体" w:hAnsi="宋体" w:eastAsia="宋体" w:cs="宋体"/>
          <w:sz w:val="21"/>
          <w:szCs w:val="21"/>
        </w:rPr>
        <w:t>实况详录法是指观察者在一段时间内（如一小时或半天内）持续不断地、尽可能地</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记录被观察对象所有的行为动作表现， 记录的内容包括被观察者本身， 或被观察者与它人互动时所做的每一件事和所说的每一句话， 以及被观察者所处的背景、 环境场所等。 在实况详录法进行的过程中， 观察者忠实地按照时间顺序来进行记录， 以此进行客观的、 毫无主观推测的记录。</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2答：</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val="en-US" w:eastAsia="zh-CN"/>
        </w:rPr>
        <w:t>答：</w:t>
      </w:r>
      <w:r>
        <w:rPr>
          <w:rFonts w:hint="eastAsia" w:ascii="宋体" w:hAnsi="宋体" w:eastAsia="宋体" w:cs="宋体"/>
          <w:sz w:val="21"/>
          <w:szCs w:val="21"/>
        </w:rPr>
        <w:t>观察信度是指观察研究的精确程度及稳定程度。即观察者在观察记录或评估中对观</w:t>
      </w:r>
    </w:p>
    <w:p>
      <w:pPr>
        <w:spacing w:line="240" w:lineRule="auto"/>
        <w:rPr>
          <w:rFonts w:hint="eastAsia" w:ascii="宋体" w:hAnsi="宋体" w:eastAsia="宋体" w:cs="宋体"/>
          <w:sz w:val="21"/>
          <w:szCs w:val="21"/>
        </w:rPr>
      </w:pPr>
      <w:r>
        <w:rPr>
          <w:rFonts w:hint="eastAsia" w:ascii="宋体" w:hAnsi="宋体" w:eastAsia="宋体" w:cs="宋体"/>
          <w:sz w:val="21"/>
          <w:szCs w:val="21"/>
        </w:rPr>
        <w:t>察现象把握的精确程度和稳定程度。 观察信度主要有两种形式： 一致性系数和稳定系数。 一致性系数是指不同观察者在同一情境中观察同一观察对象的一致性情况。 这里一致性主要是指观察精确程度的一致性。 稳定系数主要指同一观察者在同一情境中观察不同观察对象的稳定程度，或同一观察者在同一情境中多次观察同一观察对象的稳定程度。</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4.答：</w:t>
      </w:r>
      <w:r>
        <w:rPr>
          <w:rFonts w:hint="eastAsia" w:ascii="宋体" w:hAnsi="宋体" w:eastAsia="宋体" w:cs="宋体"/>
          <w:sz w:val="21"/>
          <w:szCs w:val="21"/>
        </w:rPr>
        <w:t>日常生活中的一般观察大多数是因为个人的好奇，或在生活上要作某个决定而进行</w:t>
      </w:r>
    </w:p>
    <w:p>
      <w:pPr>
        <w:spacing w:line="240" w:lineRule="auto"/>
        <w:rPr>
          <w:rFonts w:hint="eastAsia" w:ascii="宋体" w:hAnsi="宋体" w:eastAsia="宋体" w:cs="宋体"/>
          <w:sz w:val="21"/>
          <w:szCs w:val="21"/>
        </w:rPr>
      </w:pPr>
      <w:r>
        <w:rPr>
          <w:rFonts w:hint="eastAsia" w:ascii="宋体" w:hAnsi="宋体" w:eastAsia="宋体" w:cs="宋体"/>
          <w:sz w:val="21"/>
          <w:szCs w:val="21"/>
        </w:rPr>
        <w:t>的，判断是否正确并不一定很重要。 一般观察中的主观判断比较武断， 如果为了科学研究或职业要求而进行的， 必须以正确地了解为目的。 因此，必须达到专业客观或专业判断的条件，必须使观察的结果不能有过多的错误，应尽量减少误差， 需要负起专业的责任。因此， 一般观察是无目的、无计划、无记录、无控制的观察；而专业观察是有目的、有计划、有记录、</w:t>
      </w:r>
      <w:r>
        <w:rPr>
          <w:rFonts w:hint="eastAsia" w:ascii="宋体" w:hAnsi="宋体" w:eastAsia="宋体" w:cs="宋体"/>
          <w:sz w:val="21"/>
          <w:szCs w:val="21"/>
          <w:lang w:eastAsia="zh-CN"/>
        </w:rPr>
        <w:t>有</w:t>
      </w:r>
      <w:r>
        <w:rPr>
          <w:rFonts w:hint="eastAsia" w:ascii="宋体" w:hAnsi="宋体" w:eastAsia="宋体" w:cs="宋体"/>
          <w:sz w:val="21"/>
          <w:szCs w:val="21"/>
        </w:rPr>
        <w:t>控制的观察。</w:t>
      </w:r>
    </w:p>
    <w:p>
      <w:pPr>
        <w:numPr>
          <w:ilvl w:val="0"/>
          <w:numId w:val="0"/>
        </w:numPr>
        <w:spacing w:line="240" w:lineRule="auto"/>
        <w:rPr>
          <w:rFonts w:hint="eastAsia" w:ascii="宋体" w:hAnsi="宋体" w:eastAsia="宋体" w:cs="宋体"/>
          <w:b/>
          <w:bCs w:val="0"/>
          <w:sz w:val="21"/>
          <w:szCs w:val="21"/>
          <w:lang w:val="en-US" w:eastAsia="zh-CN"/>
        </w:rPr>
      </w:pPr>
    </w:p>
    <w:p>
      <w:pPr>
        <w:numPr>
          <w:ilvl w:val="0"/>
          <w:numId w:val="0"/>
        </w:numPr>
        <w:spacing w:line="240" w:lineRule="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五、论述题</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答：（1）保护孩子个人隐私与安全是学前儿童行为观察者必备的专业道德</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行为观察， 严格的说，它是一种研究方法，它提供了方法与资料来回答研究问题。 为了回答有关学前儿童行为的各种问题， 你必须对学前儿童在各种情境的反应做一些记录、 说明甚至评估。这些资料可能会引起家长或老师的不安或伤害。</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观察者可能会在观察过程中发现孩子们的缺点。 家长们通常会拿自己的孩子和其他孩子</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比较，而当自己的孩子在某些方面表现和别的孩子不同、略逊一筹时 ,尤为敏感和不舒服。</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因而，观察者更应当注意到这个孩子与其家长的隐私，尤其要留意他们的感受。</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举例： 有一个幼儿园老师掌握了很好的观察技巧， 也收集了很多有关孩子的信息。 但是</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她经常在公开场合谈论她的观察对象。</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2）如何维护孩子的个人隐私与安全</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1）观察前，需要征得孩子的监护人的同意</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如果任何家长有不希望他们的孩子被观察或留下任何记录的信息， 那么观察者便无权这</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么做。 相同地， 如果某个孩子自己不希望被观察， 当他的家长提出这样的要求时， 观察者也必须做到这一点。</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2）观察者的姓名不能出现在观察报告中</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3）做观察笔记时注意保密；</w:t>
      </w:r>
      <w:bookmarkStart w:id="0" w:name="_GoBack"/>
      <w:bookmarkEnd w:id="0"/>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4）完成的观察记录要注意保存。</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我们必须注意不要把记录放在公开的地方， 要把观察报告当作机密文件， 对待记录应该像医生对待病历一样。</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5）避免和任何人讨论所观察到的一切</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只有当你在正式分析观察笔记时， 才能讨论观察记录； 不要和非专业人士谈论观察情况； 合理并坚决拒绝回答有关观察的问题。 而当观察者和某些必要人物讨论到观察见闻时， 一般只是描述现象，而不加上过多的评论。或者进行委婉的表达，但决不能说谎。</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6）避免根据孩子们的观察结果给孩子贴上标签。</w:t>
      </w: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8B3B3"/>
    <w:multiLevelType w:val="singleLevel"/>
    <w:tmpl w:val="9BA8B3B3"/>
    <w:lvl w:ilvl="0" w:tentative="0">
      <w:start w:val="5"/>
      <w:numFmt w:val="decimal"/>
      <w:suff w:val="nothing"/>
      <w:lvlText w:val="%1、"/>
      <w:lvlJc w:val="left"/>
    </w:lvl>
  </w:abstractNum>
  <w:abstractNum w:abstractNumId="1">
    <w:nsid w:val="FBC4D608"/>
    <w:multiLevelType w:val="singleLevel"/>
    <w:tmpl w:val="FBC4D608"/>
    <w:lvl w:ilvl="0" w:tentative="0">
      <w:start w:val="8"/>
      <w:numFmt w:val="decimal"/>
      <w:suff w:val="space"/>
      <w:lvlText w:val="%1、"/>
      <w:lvlJc w:val="left"/>
    </w:lvl>
  </w:abstractNum>
  <w:abstractNum w:abstractNumId="2">
    <w:nsid w:val="636C61E3"/>
    <w:multiLevelType w:val="singleLevel"/>
    <w:tmpl w:val="636C61E3"/>
    <w:lvl w:ilvl="0" w:tentative="0">
      <w:start w:val="3"/>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CD6F30"/>
    <w:rsid w:val="08022DAD"/>
    <w:rsid w:val="09137CBF"/>
    <w:rsid w:val="099217EA"/>
    <w:rsid w:val="0A0D7C28"/>
    <w:rsid w:val="0A3009B5"/>
    <w:rsid w:val="0A30343E"/>
    <w:rsid w:val="0A380BD9"/>
    <w:rsid w:val="0A5752D5"/>
    <w:rsid w:val="0A6E5100"/>
    <w:rsid w:val="0ABB5C87"/>
    <w:rsid w:val="0AEC2C21"/>
    <w:rsid w:val="0B633D26"/>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C77F5A"/>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B25D7"/>
    <w:rsid w:val="19F5351B"/>
    <w:rsid w:val="1A595377"/>
    <w:rsid w:val="1A682A27"/>
    <w:rsid w:val="1B954408"/>
    <w:rsid w:val="1B9B4E20"/>
    <w:rsid w:val="1BD828E0"/>
    <w:rsid w:val="1BDE5224"/>
    <w:rsid w:val="1BEE2F17"/>
    <w:rsid w:val="1C440FEA"/>
    <w:rsid w:val="1C4709A0"/>
    <w:rsid w:val="1C4D1009"/>
    <w:rsid w:val="1CC03806"/>
    <w:rsid w:val="1D370258"/>
    <w:rsid w:val="1D467365"/>
    <w:rsid w:val="1D6D625F"/>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0C42B7"/>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67762DE"/>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04024"/>
    <w:rsid w:val="495C58E5"/>
    <w:rsid w:val="4A084E26"/>
    <w:rsid w:val="4A272782"/>
    <w:rsid w:val="4A842FEF"/>
    <w:rsid w:val="4AF84A86"/>
    <w:rsid w:val="4B326527"/>
    <w:rsid w:val="4BA84FD1"/>
    <w:rsid w:val="4BC549F7"/>
    <w:rsid w:val="4BDC6F27"/>
    <w:rsid w:val="4C2B38C2"/>
    <w:rsid w:val="4C5537B7"/>
    <w:rsid w:val="4C62795D"/>
    <w:rsid w:val="4C90110E"/>
    <w:rsid w:val="4E8838F6"/>
    <w:rsid w:val="4FB63333"/>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8DB2322"/>
    <w:rsid w:val="59462748"/>
    <w:rsid w:val="595B3ACF"/>
    <w:rsid w:val="59AA7BDC"/>
    <w:rsid w:val="59C94342"/>
    <w:rsid w:val="59DB251D"/>
    <w:rsid w:val="5A1A2492"/>
    <w:rsid w:val="5A711C66"/>
    <w:rsid w:val="5A9D4942"/>
    <w:rsid w:val="5A9F138A"/>
    <w:rsid w:val="5B725699"/>
    <w:rsid w:val="5B7678EF"/>
    <w:rsid w:val="5BA52EF0"/>
    <w:rsid w:val="5BBB4A35"/>
    <w:rsid w:val="5C7F6B43"/>
    <w:rsid w:val="5C8D4275"/>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329063A"/>
    <w:rsid w:val="6374583B"/>
    <w:rsid w:val="63AB6057"/>
    <w:rsid w:val="63B348E6"/>
    <w:rsid w:val="63D43986"/>
    <w:rsid w:val="63EE401A"/>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2D689F"/>
    <w:rsid w:val="6A445C5B"/>
    <w:rsid w:val="6A74675B"/>
    <w:rsid w:val="6AA27385"/>
    <w:rsid w:val="6AD31DDD"/>
    <w:rsid w:val="6AE71B19"/>
    <w:rsid w:val="6B695056"/>
    <w:rsid w:val="6B7F054C"/>
    <w:rsid w:val="6BB20334"/>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4415A6"/>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2594</Words>
  <Characters>2643</Characters>
  <Lines>0</Lines>
  <Paragraphs>0</Paragraphs>
  <TotalTime>8</TotalTime>
  <ScaleCrop>false</ScaleCrop>
  <LinksUpToDate>false</LinksUpToDate>
  <CharactersWithSpaces>2914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2022-12-09T03:11:03Z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