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30"/>
          <w:szCs w:val="30"/>
          <w:lang w:val="en-US" w:eastAsia="zh-CN"/>
        </w:rPr>
      </w:pPr>
      <w:r>
        <w:rPr>
          <w:rFonts w:hint="eastAsia"/>
          <w:sz w:val="30"/>
          <w:szCs w:val="30"/>
          <w:lang w:val="en-US" w:eastAsia="zh-CN"/>
        </w:rPr>
        <w:t>应用文写作复习资料</w:t>
      </w:r>
    </w:p>
    <w:p>
      <w:pPr>
        <w:pStyle w:val="2"/>
        <w:ind w:left="0" w:right="0" w:firstLine="211"/>
        <w:rPr>
          <w:rFonts w:ascii="宋体" w:hAnsi="宋体" w:eastAsia="宋体" w:cs="宋体"/>
          <w:b w:val="0"/>
          <w:i w:val="0"/>
          <w:caps w:val="0"/>
          <w:smallCaps w:val="0"/>
          <w:sz w:val="21"/>
          <w:szCs w:val="21"/>
        </w:rPr>
      </w:pPr>
      <w:r>
        <w:rPr>
          <w:rFonts w:ascii="宋体" w:hAnsi="宋体" w:eastAsia="宋体" w:cs="宋体"/>
          <w:b/>
          <w:sz w:val="24"/>
          <w:szCs w:val="21"/>
        </w:rPr>
        <w:t xml:space="preserve">一 单选题 </w:t>
      </w:r>
    </w:p>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 可行性研究报告的写作要求不包括（）。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以客观事实为唯一依据</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以现场世界为研究对象</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以阐述理论为重点内容</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以扎实内容为立论基础</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2. 经济协约文书的特点不包括（）。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合约性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协商性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制约性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监督性</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3. 下列公文中，（)适用于转批下级机关的公文，转发上级机关或不相隶属机关的公文，传达要求下级机关办理和需要有关单位周知或者执行的事项，任免人员。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决定</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公告</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命令</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通知</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4. 下列公文中，（）适用于对重要问题提出见解和处理办法。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请示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批复</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意见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函</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5. 审计报告的写作要求中不包括（）。</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理论性强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合法慎重</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规划正确</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真实及时</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6. 招标公告的特点中不包括（)。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监督性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公开性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明确性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时效性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7. 对外贸易中的付款方式中，（）是一种银行开立的有条件的承诺付款的书面文件。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信汇</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电汇</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托收</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信用证</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8. 企业简介的基本特点不包括（）。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c>
          <w:tcPr>
            <w:tcW w:w="8312" w:type="dxa"/>
            <w:noWrap w:val="0"/>
            <w:vAlign w:val="top"/>
          </w:tcPr>
          <w:p>
            <w:pPr>
              <w:pStyle w:val="5"/>
            </w:pPr>
            <w:r>
              <w:rPr>
                <w:b w:val="0"/>
                <w:i w:val="0"/>
                <w:caps w:val="0"/>
                <w:smallCaps w:val="0"/>
                <w:sz w:val="21"/>
              </w:rPr>
              <w:t>A. 简明扼要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真实可靠</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突出重点</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面面俱到</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9. 计划类文书的写作要求不包括（)。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与宏观形势相一致</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要面面俱到</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要明确可行</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表达语言要简明规范</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10. 诉讼文书的特点不包括（）。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合法性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规范性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简洁性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时效性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11. （）是领导机关或管理部门把意欲实施的决定或欲将行动的事宜向有关层面作公开表述，以听取各种意见或建议的文种。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指南</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公示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事务公告</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通知</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12. 章程的写作要求不包括（）。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章程的制定原则应科学</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章程的章节条目应完整</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章程的表达语气应随意</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章程的语气应严肃</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13. 经济管理事务文书的特点不包括（）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日常性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导向性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工具性</w:t>
            </w:r>
            <w:r>
              <w:t xml:space="preserve"> </w:t>
            </w:r>
          </w:p>
        </w:tc>
      </w:tr>
      <w:tr>
        <w:tc>
          <w:tcPr>
            <w:tcW w:w="8312" w:type="dxa"/>
            <w:noWrap w:val="0"/>
            <w:vAlign w:val="top"/>
          </w:tcPr>
          <w:p>
            <w:pPr>
              <w:pStyle w:val="5"/>
            </w:pPr>
            <w:r>
              <w:rPr>
                <w:b w:val="0"/>
                <w:i w:val="0"/>
                <w:caps w:val="0"/>
                <w:smallCaps w:val="0"/>
                <w:sz w:val="21"/>
              </w:rPr>
              <w:t>D. 灵活性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14. 投标函的特点中不包括（）。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保密性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竞争性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公开性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及时性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15. 以下不属于经济应用文结构的原则是（）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为文章主旨服务</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为文章文体服务</w:t>
            </w:r>
            <w:r>
              <w:t xml:space="preserve"> </w:t>
            </w:r>
          </w:p>
        </w:tc>
      </w:tr>
      <w:tr>
        <w:tc>
          <w:tcPr>
            <w:tcW w:w="8312" w:type="dxa"/>
            <w:noWrap w:val="0"/>
            <w:vAlign w:val="top"/>
          </w:tcPr>
          <w:p>
            <w:pPr>
              <w:pStyle w:val="5"/>
            </w:pPr>
            <w:r>
              <w:rPr>
                <w:b w:val="0"/>
                <w:i w:val="0"/>
                <w:caps w:val="0"/>
                <w:smallCaps w:val="0"/>
                <w:sz w:val="21"/>
              </w:rPr>
              <w:t>C. 为文章论据服务</w:t>
            </w:r>
            <w:r>
              <w:t xml:space="preserve"> </w:t>
            </w:r>
          </w:p>
        </w:tc>
      </w:tr>
      <w:tr>
        <w:tc>
          <w:tcPr>
            <w:tcW w:w="8312" w:type="dxa"/>
            <w:noWrap w:val="0"/>
            <w:vAlign w:val="top"/>
          </w:tcPr>
          <w:p>
            <w:pPr>
              <w:pStyle w:val="5"/>
            </w:pPr>
            <w:r>
              <w:rPr>
                <w:b w:val="0"/>
                <w:i w:val="0"/>
                <w:caps w:val="0"/>
                <w:smallCaps w:val="0"/>
                <w:sz w:val="21"/>
              </w:rPr>
              <w:t>D. 为文章对象服务</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16. 经济报告文书的特点不包括（）。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语言生动</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体现政策</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目的鲜明</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准确规范</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17. 大事记的特点不包括（)。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见证性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积累性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重要性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全面性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18. 审计报告的特点中不包括（）。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独立性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关联性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权威性</w:t>
            </w:r>
            <w:r>
              <w:t xml:space="preserve"> </w:t>
            </w:r>
          </w:p>
        </w:tc>
      </w:tr>
      <w:tr>
        <w:tc>
          <w:tcPr>
            <w:tcW w:w="8312" w:type="dxa"/>
            <w:noWrap w:val="0"/>
            <w:vAlign w:val="top"/>
          </w:tcPr>
          <w:p>
            <w:pPr>
              <w:pStyle w:val="5"/>
            </w:pPr>
            <w:r>
              <w:rPr>
                <w:b w:val="0"/>
                <w:i w:val="0"/>
                <w:caps w:val="0"/>
                <w:smallCaps w:val="0"/>
                <w:sz w:val="21"/>
              </w:rPr>
              <w:t>D. 监督性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19. 公文中，（）适用于对重要事项或重大行动作出安排，奖惩有关单位及人员，变更或者撤销下级机关不适当的决定事项。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决定</w:t>
            </w:r>
            <w:r>
              <w:t xml:space="preserve"> </w:t>
            </w:r>
          </w:p>
        </w:tc>
      </w:tr>
      <w:tr>
        <w:tc>
          <w:tcPr>
            <w:tcW w:w="8312" w:type="dxa"/>
            <w:noWrap w:val="0"/>
            <w:vAlign w:val="top"/>
          </w:tcPr>
          <w:p>
            <w:pPr>
              <w:pStyle w:val="5"/>
            </w:pPr>
            <w:r>
              <w:rPr>
                <w:b w:val="0"/>
                <w:i w:val="0"/>
                <w:caps w:val="0"/>
                <w:smallCaps w:val="0"/>
                <w:sz w:val="21"/>
              </w:rPr>
              <w:t>B. 公告</w:t>
            </w:r>
            <w:r>
              <w:t xml:space="preserve"> </w:t>
            </w:r>
          </w:p>
        </w:tc>
      </w:tr>
      <w:tr>
        <w:tc>
          <w:tcPr>
            <w:tcW w:w="8312" w:type="dxa"/>
            <w:noWrap w:val="0"/>
            <w:vAlign w:val="top"/>
          </w:tcPr>
          <w:p>
            <w:pPr>
              <w:pStyle w:val="5"/>
            </w:pPr>
            <w:r>
              <w:rPr>
                <w:b w:val="0"/>
                <w:i w:val="0"/>
                <w:caps w:val="0"/>
                <w:smallCaps w:val="0"/>
                <w:sz w:val="21"/>
              </w:rPr>
              <w:t>C. 命令</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通知</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20. 经济协约文书的作用不包括（）。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c>
          <w:tcPr>
            <w:tcW w:w="8312" w:type="dxa"/>
            <w:noWrap w:val="0"/>
            <w:vAlign w:val="top"/>
          </w:tcPr>
          <w:p>
            <w:pPr>
              <w:pStyle w:val="5"/>
            </w:pPr>
            <w:r>
              <w:rPr>
                <w:b w:val="0"/>
                <w:i w:val="0"/>
                <w:caps w:val="0"/>
                <w:smallCaps w:val="0"/>
                <w:sz w:val="21"/>
              </w:rPr>
              <w:t>A. 保证作用</w:t>
            </w:r>
            <w:r>
              <w:t xml:space="preserve"> </w:t>
            </w:r>
          </w:p>
        </w:tc>
      </w:tr>
      <w:tr>
        <w:tc>
          <w:tcPr>
            <w:tcW w:w="8312" w:type="dxa"/>
            <w:noWrap w:val="0"/>
            <w:vAlign w:val="top"/>
          </w:tcPr>
          <w:p>
            <w:pPr>
              <w:pStyle w:val="5"/>
            </w:pPr>
            <w:r>
              <w:rPr>
                <w:b w:val="0"/>
                <w:i w:val="0"/>
                <w:caps w:val="0"/>
                <w:smallCaps w:val="0"/>
                <w:sz w:val="21"/>
              </w:rPr>
              <w:t>B. 依据作用</w:t>
            </w:r>
            <w:r>
              <w:t xml:space="preserve"> </w:t>
            </w:r>
          </w:p>
        </w:tc>
      </w:tr>
      <w:tr>
        <w:tc>
          <w:tcPr>
            <w:tcW w:w="8312" w:type="dxa"/>
            <w:noWrap w:val="0"/>
            <w:vAlign w:val="top"/>
          </w:tcPr>
          <w:p>
            <w:pPr>
              <w:pStyle w:val="5"/>
            </w:pPr>
            <w:r>
              <w:rPr>
                <w:b w:val="0"/>
                <w:i w:val="0"/>
                <w:caps w:val="0"/>
                <w:smallCaps w:val="0"/>
                <w:sz w:val="21"/>
              </w:rPr>
              <w:t>C. 协商作用</w:t>
            </w:r>
            <w:r>
              <w:t xml:space="preserve"> </w:t>
            </w:r>
          </w:p>
        </w:tc>
      </w:tr>
      <w:tr>
        <w:tc>
          <w:tcPr>
            <w:tcW w:w="8312" w:type="dxa"/>
            <w:noWrap w:val="0"/>
            <w:vAlign w:val="top"/>
          </w:tcPr>
          <w:p>
            <w:pPr>
              <w:pStyle w:val="5"/>
            </w:pPr>
            <w:r>
              <w:rPr>
                <w:b w:val="0"/>
                <w:i w:val="0"/>
                <w:caps w:val="0"/>
                <w:smallCaps w:val="0"/>
                <w:sz w:val="21"/>
              </w:rPr>
              <w:t>D. 监督作用</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val="0"/>
          <w:i w:val="0"/>
          <w:caps w:val="0"/>
          <w:smallCaps w:val="0"/>
          <w:sz w:val="21"/>
          <w:szCs w:val="21"/>
        </w:rPr>
      </w:pPr>
      <w:r>
        <w:rPr>
          <w:rFonts w:ascii="宋体" w:hAnsi="宋体" w:eastAsia="宋体" w:cs="宋体"/>
          <w:b/>
          <w:sz w:val="24"/>
          <w:szCs w:val="21"/>
        </w:rPr>
        <w:t xml:space="preserve">二 多选题 </w:t>
      </w:r>
    </w:p>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31. 根据诉讼的性质不同，诉讼文书可以分为（）。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民事诉讼文书</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刑事诉讼文书</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行政诉讼文书</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经济诉讼文书</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32. 经济应用文语言的要求是（）。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准确精要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得体周密</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论述详细</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生动具体</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33. 行政诉讼状的特点包括（）。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原告必须是行政管理关系中的行政相对人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被告的身份具有特定性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被告负有举证责任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原告的身份具有特定性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34. 演讲的内容按照性质可以分为（）。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礼仪性演讲</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公开性演讲</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事务性演讲</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鼓动性演讲</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35. 行政公文的特点是（)。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法定性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工具性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规范性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时限性</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36. 通报的使用范围包括（）三种类型。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表彰性通报</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批评性通报</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情况通报</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紧急通报</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37. 上市公司经营状况报告的特点包括（）。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定期性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规范性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独立性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监督性</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三 判断题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41. 申诉所用的事实材料可以在裁判生效后获得，事实可以发生在原审审理之后。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42. 办法属于计划、总结类事务文书。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43. 通告内容的性质很不一样，周知性通告往往有所强制，有时甚至会具有一定的法律效用。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44. 综合报告因为要综合问题，所以要面面俱到。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45. 反诉状可以在第一审程序中递交，也可以在第二审程序中递交。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46. 通讯短小精悍有相对固定的格式。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47. 公告是由各级领导机关或各业务主管部门发布。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48. 经济应用文在修辞的运用上，主要采用积极修辞的艺术，为了更好的突出它的信息量。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49. 经济预测报告重总结。 </w:t>
      </w:r>
      <w:r>
        <w:rPr>
          <w:rFonts w:hint="eastAsia" w:ascii="宋体" w:hAnsi="宋体" w:cs="宋体"/>
          <w:b w:val="0"/>
          <w:sz w:val="21"/>
          <w:szCs w:val="21"/>
          <w:lang w:eastAsia="zh-CN"/>
        </w:rPr>
        <w:t xml:space="preserve"> </w:t>
      </w:r>
      <w:r>
        <w:rPr>
          <w:rFonts w:ascii="宋体" w:hAnsi="宋体" w:eastAsia="宋体" w:cs="宋体"/>
          <w:b w:val="0"/>
          <w:sz w:val="21"/>
          <w:szCs w:val="21"/>
        </w:rPr>
        <w:t>（  ）</w:t>
      </w:r>
    </w:p>
    <w:p>
      <w:pPr>
        <w:rPr>
          <w:rFonts w:ascii="宋体" w:hAnsi="宋体" w:eastAsia="宋体" w:cs="宋体"/>
          <w:b w:val="0"/>
          <w:sz w:val="21"/>
          <w:szCs w:val="21"/>
        </w:rPr>
      </w:pPr>
    </w:p>
    <w:p>
      <w:pPr>
        <w:ind w:firstLine="210" w:firstLineChars="100"/>
        <w:rPr>
          <w:rFonts w:ascii="宋体" w:hAnsi="宋体" w:eastAsia="宋体" w:cs="宋体"/>
          <w:b w:val="0"/>
          <w:sz w:val="21"/>
          <w:szCs w:val="21"/>
        </w:rPr>
      </w:pPr>
    </w:p>
    <w:p>
      <w:pPr>
        <w:pStyle w:val="2"/>
        <w:ind w:left="0" w:right="0" w:firstLine="211"/>
        <w:rPr>
          <w:rFonts w:hint="default" w:ascii="宋体" w:hAnsi="宋体" w:eastAsia="宋体" w:cs="宋体"/>
          <w:b/>
          <w:sz w:val="24"/>
          <w:szCs w:val="21"/>
          <w:lang w:val="en-US" w:eastAsia="zh-CN"/>
        </w:rPr>
      </w:pPr>
      <w:r>
        <w:rPr>
          <w:rFonts w:hint="eastAsia" w:ascii="宋体" w:hAnsi="宋体" w:cs="宋体"/>
          <w:b/>
          <w:sz w:val="24"/>
          <w:szCs w:val="21"/>
          <w:lang w:val="en-US" w:eastAsia="zh-CN"/>
        </w:rPr>
        <w:t>应用文写作答案：</w:t>
      </w:r>
    </w:p>
    <w:p>
      <w:pPr>
        <w:pStyle w:val="2"/>
        <w:ind w:left="0" w:right="0" w:firstLine="211"/>
        <w:rPr>
          <w:rFonts w:ascii="宋体" w:hAnsi="宋体" w:eastAsia="宋体" w:cs="宋体"/>
          <w:b w:val="0"/>
          <w:sz w:val="21"/>
          <w:szCs w:val="21"/>
        </w:rPr>
      </w:pPr>
      <w:r>
        <w:rPr>
          <w:rFonts w:ascii="宋体" w:hAnsi="宋体" w:eastAsia="宋体" w:cs="宋体"/>
          <w:b/>
          <w:sz w:val="24"/>
          <w:szCs w:val="21"/>
        </w:rPr>
        <w:t>一 单选题 (共30题 ，总分值60分 )</w:t>
      </w:r>
    </w:p>
    <w:p>
      <w:pPr>
        <w:pStyle w:val="2"/>
        <w:ind w:left="0" w:right="0" w:firstLine="211"/>
        <w:rPr>
          <w:rFonts w:hint="default" w:ascii="宋体" w:hAnsi="宋体" w:eastAsia="宋体" w:cs="宋体"/>
          <w:b w:val="0"/>
          <w:sz w:val="21"/>
          <w:szCs w:val="21"/>
          <w:lang w:val="en-US" w:eastAsia="zh-CN"/>
        </w:rPr>
      </w:pPr>
      <w:r>
        <w:rPr>
          <w:rFonts w:hint="eastAsia" w:ascii="宋体" w:hAnsi="宋体" w:cs="宋体"/>
          <w:b w:val="0"/>
          <w:sz w:val="21"/>
          <w:szCs w:val="21"/>
          <w:lang w:val="en-US" w:eastAsia="zh-CN"/>
        </w:rPr>
        <w:t xml:space="preserve">1-5CDDCA   6-10ADDBC    11-15BCBCC  16-20ADBAC  </w:t>
      </w:r>
    </w:p>
    <w:p>
      <w:pPr>
        <w:pStyle w:val="2"/>
        <w:ind w:left="0" w:right="0" w:firstLine="211"/>
        <w:rPr>
          <w:rFonts w:ascii="宋体" w:hAnsi="宋体" w:eastAsia="宋体" w:cs="宋体"/>
          <w:b w:val="0"/>
          <w:sz w:val="21"/>
          <w:szCs w:val="21"/>
        </w:rPr>
      </w:pPr>
      <w:r>
        <w:rPr>
          <w:rFonts w:ascii="宋体" w:hAnsi="宋体" w:eastAsia="宋体" w:cs="宋体"/>
          <w:b/>
          <w:sz w:val="24"/>
          <w:szCs w:val="21"/>
        </w:rPr>
        <w:t>二 多选题 (共10题 ，总分值30分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31. A,B,C</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32. A,B</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33. A,B,C</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34. A,C</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35. A,B,C,D</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36. A,B,C</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37. A,B</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三 判断题 (共10题 ，总分值10分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41.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42.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43.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44.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45.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46.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47. 错</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48. 错</w:t>
      </w:r>
    </w:p>
    <w:p>
      <w:pPr>
        <w:pStyle w:val="2"/>
        <w:ind w:left="0" w:right="0" w:firstLine="211"/>
        <w:rPr>
          <w:rFonts w:hint="default" w:ascii="宋体" w:hAnsi="宋体" w:eastAsia="宋体" w:cs="宋体"/>
          <w:b w:val="0"/>
          <w:sz w:val="21"/>
          <w:szCs w:val="21"/>
          <w:lang w:val="en-US" w:eastAsia="zh-CN"/>
        </w:rPr>
      </w:pPr>
      <w:r>
        <w:rPr>
          <w:rFonts w:ascii="宋体" w:hAnsi="宋体" w:eastAsia="宋体" w:cs="宋体"/>
          <w:b w:val="0"/>
          <w:sz w:val="21"/>
          <w:szCs w:val="21"/>
        </w:rPr>
        <w:t>49. 错</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00000000"/>
    <w:rsid w:val="7C9C5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qFormat/>
    <w:uiPriority w:val="7"/>
    <w:pPr>
      <w:widowControl w:val="0"/>
      <w:suppressAutoHyphens/>
      <w:bidi w:val="0"/>
      <w:spacing w:before="0" w:after="140" w:line="288" w:lineRule="auto"/>
      <w:jc w:val="both"/>
    </w:pPr>
    <w:rPr>
      <w:rFonts w:ascii="Times New Roman" w:hAnsi="Times New Roman" w:eastAsia="宋体" w:cs="Times New Roman"/>
      <w:color w:val="auto"/>
      <w:kern w:val="1"/>
      <w:sz w:val="21"/>
      <w:szCs w:val="24"/>
      <w:lang w:val="en-US" w:eastAsia="zh-CN" w:bidi="ar-SA"/>
    </w:rPr>
  </w:style>
  <w:style w:type="paragraph" w:customStyle="1" w:styleId="5">
    <w:name w:val="Table Contents"/>
    <w:uiPriority w:val="6"/>
    <w:pPr>
      <w:widowControl w:val="0"/>
      <w:suppressLineNumbers/>
      <w:suppressAutoHyphens/>
      <w:bidi w:val="0"/>
      <w:jc w:val="both"/>
    </w:pPr>
    <w:rPr>
      <w:rFonts w:ascii="Times New Roman" w:hAnsi="Times New Roman" w:eastAsia="宋体" w:cs="Times New Roman"/>
      <w:color w:val="auto"/>
      <w:kern w:val="1"/>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2022-06-30T01:40:37Z</dcterms:created>
  <dc:creator>Administrator</dc:creator>
  <cp:lastModifiedBy>Administrator</cp:lastModifiedBy>
  <dcterms:modified xsi:type="dcterms:W3CDTF">2022-06-30T01:47:38Z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B6B4D634804E4C84A5EA25698D5F894D</vt:lpwstr>
  </property>
</Properties>
</file>