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53"/>
        </w:tabs>
        <w:snapToGrid w:val="0"/>
        <w:rPr>
          <w:rFonts w:eastAsia="黑体"/>
          <w:b/>
          <w:sz w:val="24"/>
          <w:szCs w:val="24"/>
        </w:rPr>
      </w:pPr>
      <w:r>
        <w:rPr>
          <w:rFonts w:hint="eastAsia"/>
          <w:sz w:val="24"/>
          <w:szCs w:val="24"/>
        </w:rPr>
        <w:t>成本会计</w:t>
      </w:r>
      <w:r>
        <w:rPr>
          <w:rFonts w:hint="eastAsia"/>
          <w:sz w:val="24"/>
          <w:szCs w:val="24"/>
          <w:lang w:val="en-US" w:eastAsia="zh-CN"/>
        </w:rPr>
        <w:t>复习资料</w:t>
      </w:r>
    </w:p>
    <w:p>
      <w:pPr>
        <w:tabs>
          <w:tab w:val="left" w:pos="4253"/>
        </w:tabs>
        <w:snapToGrid w:val="0"/>
        <w:rPr>
          <w:rFonts w:eastAsia="黑体"/>
          <w:b/>
          <w:sz w:val="24"/>
          <w:szCs w:val="24"/>
        </w:rPr>
      </w:pPr>
      <w:r>
        <w:rPr>
          <w:rFonts w:eastAsia="黑体"/>
          <w:b/>
          <w:sz w:val="24"/>
          <w:szCs w:val="24"/>
        </w:rPr>
        <w:t>一、单项选择题</w:t>
      </w:r>
    </w:p>
    <w:p>
      <w:pPr>
        <w:tabs>
          <w:tab w:val="left" w:pos="4253"/>
        </w:tabs>
        <w:snapToGrid w:val="0"/>
        <w:rPr>
          <w:rFonts w:hint="eastAsia" w:ascii="宋体" w:hAnsi="宋体" w:eastAsia="宋体"/>
          <w:lang w:eastAsia="zh-CN"/>
        </w:rPr>
      </w:pPr>
      <w:r>
        <w:rPr>
          <w:rFonts w:ascii="宋体" w:hAnsi="宋体"/>
        </w:rPr>
        <w:t>1、在成本分析的基础上，定期地对成本计划及其有关指标的实际完成情况进行总结和评价的是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A、成本核算</w:t>
      </w:r>
      <w:r>
        <w:rPr>
          <w:rFonts w:hint="eastAsia" w:ascii="宋体" w:hAnsi="宋体"/>
          <w:lang w:val="en-US" w:eastAsia="zh-CN"/>
        </w:rPr>
        <w:t xml:space="preserve">          </w:t>
      </w:r>
      <w:r>
        <w:rPr>
          <w:rFonts w:ascii="宋体" w:hAnsi="宋体"/>
        </w:rPr>
        <w:t>B、成本考核</w:t>
      </w:r>
      <w:r>
        <w:rPr>
          <w:rFonts w:hint="eastAsia" w:ascii="宋体" w:hAnsi="宋体"/>
          <w:lang w:val="en-US" w:eastAsia="zh-CN"/>
        </w:rPr>
        <w:t xml:space="preserve">           </w:t>
      </w:r>
      <w:r>
        <w:rPr>
          <w:rFonts w:ascii="宋体" w:hAnsi="宋体"/>
        </w:rPr>
        <w:t>C、成本控制</w:t>
      </w:r>
      <w:r>
        <w:rPr>
          <w:rFonts w:ascii="宋体" w:hAnsi="宋体"/>
        </w:rPr>
        <w:tab/>
      </w:r>
      <w:r>
        <w:rPr>
          <w:rFonts w:hint="eastAsia" w:ascii="宋体" w:hAnsi="宋体"/>
          <w:lang w:val="en-US" w:eastAsia="zh-CN"/>
        </w:rPr>
        <w:t xml:space="preserve">         </w:t>
      </w:r>
      <w:r>
        <w:rPr>
          <w:rFonts w:ascii="宋体" w:hAnsi="宋体"/>
        </w:rPr>
        <w:t>D、成本分析</w:t>
      </w:r>
    </w:p>
    <w:p>
      <w:pPr>
        <w:tabs>
          <w:tab w:val="left" w:pos="4253"/>
        </w:tabs>
        <w:snapToGrid w:val="0"/>
        <w:rPr>
          <w:rFonts w:ascii="宋体" w:hAnsi="宋体"/>
        </w:rPr>
      </w:pPr>
      <w:r>
        <w:rPr>
          <w:rFonts w:ascii="宋体" w:hAnsi="宋体"/>
        </w:rPr>
        <w:t>2、下列各项中，属于按经济内容分类的费用是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A、原材料</w:t>
      </w:r>
      <w:r>
        <w:rPr>
          <w:rFonts w:hint="eastAsia" w:ascii="宋体" w:hAnsi="宋体"/>
          <w:lang w:val="en-US" w:eastAsia="zh-CN"/>
        </w:rPr>
        <w:t xml:space="preserve">            </w:t>
      </w:r>
      <w:r>
        <w:rPr>
          <w:rFonts w:ascii="宋体" w:hAnsi="宋体"/>
        </w:rPr>
        <w:t>B、职工薪酬</w:t>
      </w:r>
      <w:r>
        <w:rPr>
          <w:rFonts w:hint="eastAsia" w:ascii="宋体" w:hAnsi="宋体"/>
          <w:lang w:val="en-US" w:eastAsia="zh-CN"/>
        </w:rPr>
        <w:t xml:space="preserve">           </w:t>
      </w:r>
      <w:r>
        <w:rPr>
          <w:rFonts w:ascii="宋体" w:hAnsi="宋体"/>
        </w:rPr>
        <w:t>C、直接人工</w:t>
      </w:r>
      <w:r>
        <w:rPr>
          <w:rFonts w:ascii="宋体" w:hAnsi="宋体"/>
        </w:rPr>
        <w:tab/>
      </w:r>
      <w:r>
        <w:rPr>
          <w:rFonts w:hint="eastAsia" w:ascii="宋体" w:hAnsi="宋体"/>
          <w:lang w:val="en-US" w:eastAsia="zh-CN"/>
        </w:rPr>
        <w:t xml:space="preserve">         </w:t>
      </w:r>
      <w:r>
        <w:rPr>
          <w:rFonts w:ascii="宋体" w:hAnsi="宋体"/>
        </w:rPr>
        <w:t>D、制造费用</w:t>
      </w:r>
    </w:p>
    <w:p>
      <w:pPr>
        <w:tabs>
          <w:tab w:val="left" w:pos="4253"/>
        </w:tabs>
        <w:snapToGrid w:val="0"/>
        <w:rPr>
          <w:rFonts w:ascii="宋体" w:hAnsi="宋体"/>
        </w:rPr>
      </w:pPr>
      <w:r>
        <w:rPr>
          <w:rFonts w:ascii="宋体" w:hAnsi="宋体"/>
        </w:rPr>
        <w:t>3、下列方法中，属于成本计算辅助方法的是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A、定额法</w:t>
      </w:r>
      <w:r>
        <w:rPr>
          <w:rFonts w:hint="eastAsia" w:ascii="宋体" w:hAnsi="宋体"/>
          <w:lang w:val="en-US" w:eastAsia="zh-CN"/>
        </w:rPr>
        <w:t xml:space="preserve">            </w:t>
      </w:r>
      <w:r>
        <w:rPr>
          <w:rFonts w:ascii="宋体" w:hAnsi="宋体"/>
        </w:rPr>
        <w:t>B、分批法</w:t>
      </w:r>
      <w:r>
        <w:rPr>
          <w:rFonts w:hint="eastAsia" w:ascii="宋体" w:hAnsi="宋体"/>
          <w:lang w:val="en-US" w:eastAsia="zh-CN"/>
        </w:rPr>
        <w:t xml:space="preserve">             </w:t>
      </w:r>
      <w:r>
        <w:rPr>
          <w:rFonts w:ascii="宋体" w:hAnsi="宋体"/>
        </w:rPr>
        <w:t>C、分步法</w:t>
      </w:r>
      <w:r>
        <w:rPr>
          <w:rFonts w:hint="eastAsia" w:ascii="宋体" w:hAnsi="宋体"/>
          <w:lang w:val="en-US" w:eastAsia="zh-CN"/>
        </w:rPr>
        <w:t xml:space="preserve">             </w:t>
      </w:r>
      <w:r>
        <w:rPr>
          <w:rFonts w:ascii="宋体" w:hAnsi="宋体"/>
        </w:rPr>
        <w:t>D、品种法</w:t>
      </w:r>
    </w:p>
    <w:p>
      <w:pPr>
        <w:tabs>
          <w:tab w:val="left" w:pos="4253"/>
        </w:tabs>
        <w:snapToGrid w:val="0"/>
        <w:rPr>
          <w:rFonts w:ascii="宋体" w:hAnsi="宋体"/>
        </w:rPr>
      </w:pPr>
      <w:r>
        <w:rPr>
          <w:rFonts w:ascii="宋体" w:hAnsi="宋体"/>
        </w:rPr>
        <w:t>4、某生产工人生产甲产品850件，其中合格品790件，材料不合格造成的废品10件，工人工艺不熟练造成的废品40件，计件单价10元。该工人的计件工资应为</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A、7900元</w:t>
      </w:r>
      <w:r>
        <w:rPr>
          <w:rFonts w:hint="eastAsia" w:ascii="宋体" w:hAnsi="宋体"/>
        </w:rPr>
        <w:t xml:space="preserve">   </w:t>
      </w:r>
      <w:r>
        <w:rPr>
          <w:rFonts w:hint="eastAsia" w:ascii="宋体" w:hAnsi="宋体"/>
          <w:lang w:val="en-US" w:eastAsia="zh-CN"/>
        </w:rPr>
        <w:t xml:space="preserve">         </w:t>
      </w:r>
      <w:r>
        <w:rPr>
          <w:rFonts w:ascii="宋体" w:hAnsi="宋体"/>
        </w:rPr>
        <w:t>B、8000元</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ascii="宋体" w:hAnsi="宋体"/>
        </w:rPr>
        <w:t>C</w:t>
      </w:r>
      <w:r>
        <w:rPr>
          <w:rFonts w:hint="eastAsia" w:ascii="宋体" w:hAnsi="宋体"/>
          <w:lang w:eastAsia="zh-CN"/>
        </w:rPr>
        <w:t>、</w:t>
      </w:r>
      <w:r>
        <w:rPr>
          <w:rFonts w:ascii="宋体" w:hAnsi="宋体"/>
        </w:rPr>
        <w:t>8400元</w:t>
      </w:r>
      <w:r>
        <w:rPr>
          <w:rFonts w:ascii="宋体" w:hAnsi="宋体"/>
        </w:rPr>
        <w:tab/>
      </w:r>
      <w:r>
        <w:rPr>
          <w:rFonts w:hint="eastAsia" w:ascii="宋体" w:hAnsi="宋体"/>
          <w:lang w:val="en-US" w:eastAsia="zh-CN"/>
        </w:rPr>
        <w:t xml:space="preserve">         </w:t>
      </w:r>
      <w:r>
        <w:rPr>
          <w:rFonts w:ascii="宋体" w:hAnsi="宋体"/>
        </w:rPr>
        <w:t>D、8500元</w:t>
      </w:r>
    </w:p>
    <w:p>
      <w:pPr>
        <w:tabs>
          <w:tab w:val="left" w:pos="4253"/>
        </w:tabs>
        <w:snapToGrid w:val="0"/>
        <w:rPr>
          <w:rFonts w:ascii="宋体" w:hAnsi="宋体"/>
        </w:rPr>
      </w:pPr>
      <w:r>
        <w:rPr>
          <w:rFonts w:ascii="宋体" w:hAnsi="宋体"/>
        </w:rPr>
        <w:t>5、在辅助生产内部相互提供劳务不多的情况下，辅助生产费用的分配可以采用较为简便的方法是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A、顺序分配法</w:t>
      </w:r>
      <w:r>
        <w:rPr>
          <w:rFonts w:hint="eastAsia" w:ascii="宋体" w:hAnsi="宋体"/>
          <w:lang w:val="en-US" w:eastAsia="zh-CN"/>
        </w:rPr>
        <w:t xml:space="preserve">        </w:t>
      </w:r>
      <w:r>
        <w:rPr>
          <w:rFonts w:ascii="宋体" w:hAnsi="宋体"/>
        </w:rPr>
        <w:t>B、交互分配法</w:t>
      </w:r>
      <w:r>
        <w:rPr>
          <w:rFonts w:hint="eastAsia" w:ascii="宋体" w:hAnsi="宋体"/>
          <w:lang w:val="en-US" w:eastAsia="zh-CN"/>
        </w:rPr>
        <w:t xml:space="preserve">         </w:t>
      </w:r>
      <w:r>
        <w:rPr>
          <w:rFonts w:ascii="宋体" w:hAnsi="宋体"/>
        </w:rPr>
        <w:t>C、直接分配法</w:t>
      </w:r>
      <w:r>
        <w:rPr>
          <w:rFonts w:ascii="宋体" w:hAnsi="宋体"/>
        </w:rPr>
        <w:tab/>
      </w:r>
      <w:r>
        <w:rPr>
          <w:rFonts w:hint="eastAsia" w:ascii="宋体" w:hAnsi="宋体"/>
          <w:lang w:val="en-US" w:eastAsia="zh-CN"/>
        </w:rPr>
        <w:t xml:space="preserve">     </w:t>
      </w:r>
      <w:r>
        <w:rPr>
          <w:rFonts w:ascii="宋体" w:hAnsi="宋体"/>
        </w:rPr>
        <w:t>D、计划成本分配法</w:t>
      </w:r>
    </w:p>
    <w:p>
      <w:pPr>
        <w:tabs>
          <w:tab w:val="left" w:pos="4253"/>
        </w:tabs>
        <w:snapToGrid w:val="0"/>
        <w:rPr>
          <w:rFonts w:ascii="宋体" w:hAnsi="宋体"/>
        </w:rPr>
      </w:pPr>
      <w:r>
        <w:rPr>
          <w:rFonts w:ascii="宋体" w:hAnsi="宋体"/>
        </w:rPr>
        <w:t>6、可修复废品的废品损失是指</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A、返修前发生的生产费用</w:t>
      </w:r>
      <w:r>
        <w:rPr>
          <w:rFonts w:hint="eastAsia" w:ascii="宋体" w:hAnsi="宋体"/>
          <w:lang w:val="en-US" w:eastAsia="zh-CN"/>
        </w:rPr>
        <w:t xml:space="preserve">                    </w:t>
      </w:r>
      <w:r>
        <w:rPr>
          <w:rFonts w:ascii="宋体" w:hAnsi="宋体"/>
        </w:rPr>
        <w:t>B、返修后发生的修理费用</w:t>
      </w:r>
    </w:p>
    <w:p>
      <w:pPr>
        <w:tabs>
          <w:tab w:val="left" w:pos="4253"/>
        </w:tabs>
        <w:snapToGrid w:val="0"/>
        <w:rPr>
          <w:rFonts w:ascii="宋体" w:hAnsi="宋体"/>
        </w:rPr>
      </w:pPr>
      <w:r>
        <w:rPr>
          <w:rFonts w:ascii="宋体" w:hAnsi="宋体"/>
        </w:rPr>
        <w:t>C、返修后发生的原材料费用</w:t>
      </w:r>
      <w:r>
        <w:rPr>
          <w:rFonts w:hint="eastAsia" w:ascii="宋体" w:hAnsi="宋体"/>
          <w:lang w:val="en-US" w:eastAsia="zh-CN"/>
        </w:rPr>
        <w:t xml:space="preserve">                  </w:t>
      </w:r>
      <w:r>
        <w:rPr>
          <w:rFonts w:ascii="宋体" w:hAnsi="宋体"/>
        </w:rPr>
        <w:t>D、返修前发生的生产费用加上返修后发生的修理费用</w:t>
      </w:r>
    </w:p>
    <w:p>
      <w:pPr>
        <w:tabs>
          <w:tab w:val="left" w:pos="4253"/>
        </w:tabs>
        <w:snapToGrid w:val="0"/>
        <w:rPr>
          <w:rFonts w:ascii="宋体" w:hAnsi="宋体"/>
        </w:rPr>
      </w:pPr>
      <w:r>
        <w:rPr>
          <w:rFonts w:ascii="宋体" w:hAnsi="宋体"/>
        </w:rPr>
        <w:t>7、通过精确地调查、分析与技术测定而制定的，用来评价实际成本、衡量成本工作效率的预计的未来成本是指</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A、定额成本</w:t>
      </w:r>
      <w:r>
        <w:rPr>
          <w:rFonts w:hint="eastAsia" w:ascii="宋体" w:hAnsi="宋体"/>
          <w:lang w:val="en-US" w:eastAsia="zh-CN"/>
        </w:rPr>
        <w:t xml:space="preserve">          </w:t>
      </w:r>
      <w:r>
        <w:rPr>
          <w:rFonts w:ascii="宋体" w:hAnsi="宋体"/>
        </w:rPr>
        <w:t>B、计划成本</w:t>
      </w:r>
      <w:r>
        <w:rPr>
          <w:rFonts w:hint="eastAsia" w:ascii="宋体" w:hAnsi="宋体"/>
          <w:lang w:val="en-US" w:eastAsia="zh-CN"/>
        </w:rPr>
        <w:t xml:space="preserve">           </w:t>
      </w:r>
      <w:r>
        <w:rPr>
          <w:rFonts w:ascii="宋体" w:hAnsi="宋体"/>
        </w:rPr>
        <w:t>C、标准成本</w:t>
      </w:r>
      <w:r>
        <w:rPr>
          <w:rFonts w:ascii="宋体" w:hAnsi="宋体"/>
        </w:rPr>
        <w:tab/>
      </w:r>
      <w:r>
        <w:rPr>
          <w:rFonts w:hint="eastAsia" w:ascii="宋体" w:hAnsi="宋体"/>
          <w:lang w:val="en-US" w:eastAsia="zh-CN"/>
        </w:rPr>
        <w:t xml:space="preserve">         </w:t>
      </w:r>
      <w:r>
        <w:rPr>
          <w:rFonts w:ascii="宋体" w:hAnsi="宋体"/>
        </w:rPr>
        <w:t>D、可控成本</w:t>
      </w:r>
    </w:p>
    <w:p>
      <w:pPr>
        <w:tabs>
          <w:tab w:val="left" w:pos="4253"/>
        </w:tabs>
        <w:snapToGrid w:val="0"/>
        <w:rPr>
          <w:rFonts w:ascii="宋体" w:hAnsi="宋体"/>
        </w:rPr>
      </w:pPr>
      <w:r>
        <w:rPr>
          <w:rFonts w:ascii="宋体" w:hAnsi="宋体"/>
        </w:rPr>
        <w:t>8、采用分步法计算产品成本时，成本还原的对象是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A、完工产成品成本的各个成本项目</w:t>
      </w:r>
      <w:r>
        <w:rPr>
          <w:rFonts w:ascii="宋体" w:hAnsi="宋体"/>
        </w:rPr>
        <w:tab/>
      </w:r>
      <w:r>
        <w:rPr>
          <w:rFonts w:hint="eastAsia" w:ascii="宋体" w:hAnsi="宋体"/>
          <w:lang w:val="en-US" w:eastAsia="zh-CN"/>
        </w:rPr>
        <w:t xml:space="preserve">  </w:t>
      </w:r>
      <w:r>
        <w:rPr>
          <w:rFonts w:ascii="宋体" w:hAnsi="宋体"/>
        </w:rPr>
        <w:t>B、平行结转中各步骤的半成品成本</w:t>
      </w:r>
    </w:p>
    <w:p>
      <w:pPr>
        <w:tabs>
          <w:tab w:val="left" w:pos="4253"/>
        </w:tabs>
        <w:snapToGrid w:val="0"/>
        <w:rPr>
          <w:rFonts w:ascii="宋体" w:hAnsi="宋体"/>
        </w:rPr>
      </w:pPr>
      <w:r>
        <w:rPr>
          <w:rFonts w:ascii="宋体" w:hAnsi="宋体"/>
        </w:rPr>
        <w:t>C、产成品成本中所耗用的半成品项目</w:t>
      </w:r>
      <w:r>
        <w:rPr>
          <w:rFonts w:ascii="宋体" w:hAnsi="宋体"/>
        </w:rPr>
        <w:tab/>
      </w:r>
      <w:r>
        <w:rPr>
          <w:rFonts w:hint="eastAsia" w:ascii="宋体" w:hAnsi="宋体"/>
          <w:lang w:val="en-US" w:eastAsia="zh-CN"/>
        </w:rPr>
        <w:t xml:space="preserve">  </w:t>
      </w:r>
      <w:r>
        <w:rPr>
          <w:rFonts w:ascii="宋体" w:hAnsi="宋体"/>
        </w:rPr>
        <w:t>D、最后步骤的产成品成本</w:t>
      </w:r>
    </w:p>
    <w:p>
      <w:pPr>
        <w:tabs>
          <w:tab w:val="left" w:pos="4253"/>
        </w:tabs>
        <w:snapToGrid w:val="0"/>
        <w:rPr>
          <w:rFonts w:ascii="宋体" w:hAnsi="宋体"/>
        </w:rPr>
      </w:pPr>
      <w:r>
        <w:rPr>
          <w:rFonts w:ascii="宋体" w:hAnsi="宋体"/>
        </w:rPr>
        <w:t>9、区分各种产品成本计算基本方法的主要标志是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rPr>
      </w:pPr>
      <w:r>
        <w:rPr>
          <w:rFonts w:ascii="宋体" w:hAnsi="宋体"/>
        </w:rPr>
        <w:t>A、成本计算对象</w:t>
      </w:r>
      <w:r>
        <w:rPr>
          <w:rFonts w:hint="eastAsia" w:ascii="宋体" w:hAnsi="宋体"/>
        </w:rPr>
        <w:t xml:space="preserve">            </w:t>
      </w:r>
      <w:r>
        <w:rPr>
          <w:rFonts w:hint="eastAsia" w:ascii="宋体" w:hAnsi="宋体"/>
          <w:lang w:val="en-US" w:eastAsia="zh-CN"/>
        </w:rPr>
        <w:t xml:space="preserve">                </w:t>
      </w:r>
      <w:r>
        <w:rPr>
          <w:rFonts w:ascii="宋体" w:hAnsi="宋体"/>
        </w:rPr>
        <w:t>B、成本计算期</w:t>
      </w:r>
    </w:p>
    <w:p>
      <w:pPr>
        <w:tabs>
          <w:tab w:val="left" w:pos="4253"/>
        </w:tabs>
        <w:snapToGrid w:val="0"/>
        <w:rPr>
          <w:rFonts w:ascii="宋体" w:hAnsi="宋体"/>
        </w:rPr>
      </w:pPr>
      <w:r>
        <w:rPr>
          <w:rFonts w:ascii="宋体" w:hAnsi="宋体"/>
        </w:rPr>
        <w:t>C、间接费用的分配方法</w:t>
      </w:r>
      <w:r>
        <w:rPr>
          <w:rFonts w:ascii="宋体" w:hAnsi="宋体"/>
        </w:rPr>
        <w:tab/>
      </w:r>
      <w:r>
        <w:rPr>
          <w:rFonts w:hint="eastAsia" w:ascii="宋体" w:hAnsi="宋体"/>
          <w:lang w:val="en-US" w:eastAsia="zh-CN"/>
        </w:rPr>
        <w:t xml:space="preserve">  </w:t>
      </w:r>
      <w:r>
        <w:rPr>
          <w:rFonts w:ascii="宋体" w:hAnsi="宋体"/>
        </w:rPr>
        <w:t>D、完工产品与在产品之间分配费用的方法</w:t>
      </w:r>
    </w:p>
    <w:p>
      <w:pPr>
        <w:tabs>
          <w:tab w:val="left" w:pos="4253"/>
        </w:tabs>
        <w:snapToGrid w:val="0"/>
        <w:rPr>
          <w:rFonts w:ascii="宋体" w:hAnsi="宋体"/>
        </w:rPr>
      </w:pPr>
      <w:r>
        <w:rPr>
          <w:rFonts w:ascii="宋体" w:hAnsi="宋体"/>
        </w:rPr>
        <w:t>10、下列各项中，属于产品成本项目的是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A、职工薪酬</w:t>
      </w:r>
      <w:r>
        <w:rPr>
          <w:rFonts w:hint="eastAsia" w:ascii="宋体" w:hAnsi="宋体"/>
          <w:lang w:val="en-US" w:eastAsia="zh-CN"/>
        </w:rPr>
        <w:t xml:space="preserve">         </w:t>
      </w:r>
      <w:r>
        <w:rPr>
          <w:rFonts w:ascii="宋体" w:hAnsi="宋体"/>
        </w:rPr>
        <w:t>B、制造费用</w:t>
      </w:r>
      <w:r>
        <w:rPr>
          <w:rFonts w:hint="eastAsia" w:ascii="宋体" w:hAnsi="宋体"/>
          <w:lang w:val="en-US" w:eastAsia="zh-CN"/>
        </w:rPr>
        <w:t xml:space="preserve">            </w:t>
      </w:r>
      <w:r>
        <w:rPr>
          <w:rFonts w:ascii="宋体" w:hAnsi="宋体"/>
        </w:rPr>
        <w:t>C、利息费用</w:t>
      </w:r>
      <w:r>
        <w:rPr>
          <w:rFonts w:ascii="宋体" w:hAnsi="宋体"/>
        </w:rPr>
        <w:tab/>
      </w:r>
      <w:r>
        <w:rPr>
          <w:rFonts w:hint="eastAsia" w:ascii="宋体" w:hAnsi="宋体"/>
          <w:lang w:val="en-US" w:eastAsia="zh-CN"/>
        </w:rPr>
        <w:t xml:space="preserve">         </w:t>
      </w:r>
      <w:r>
        <w:rPr>
          <w:rFonts w:ascii="宋体" w:hAnsi="宋体"/>
        </w:rPr>
        <w:t>D、原材料</w:t>
      </w:r>
    </w:p>
    <w:p>
      <w:pPr>
        <w:tabs>
          <w:tab w:val="left" w:pos="4253"/>
        </w:tabs>
        <w:snapToGrid w:val="0"/>
        <w:rPr>
          <w:rFonts w:ascii="宋体" w:hAnsi="宋体"/>
        </w:rPr>
      </w:pPr>
      <w:r>
        <w:rPr>
          <w:rFonts w:ascii="宋体" w:hAnsi="宋体"/>
        </w:rPr>
        <w:t>11、下列方法中，必须设置基本生产成本二级账，登记间接计入费用的是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A、分类法</w:t>
      </w:r>
      <w:r>
        <w:rPr>
          <w:rFonts w:hint="eastAsia" w:ascii="宋体" w:hAnsi="宋体"/>
          <w:lang w:val="en-US" w:eastAsia="zh-CN"/>
        </w:rPr>
        <w:t xml:space="preserve">           </w:t>
      </w:r>
      <w:r>
        <w:rPr>
          <w:rFonts w:ascii="宋体" w:hAnsi="宋体"/>
        </w:rPr>
        <w:t>B、简化的品种法</w:t>
      </w:r>
      <w:r>
        <w:rPr>
          <w:rFonts w:hint="eastAsia" w:ascii="宋体" w:hAnsi="宋体"/>
          <w:lang w:val="en-US" w:eastAsia="zh-CN"/>
        </w:rPr>
        <w:t xml:space="preserve">        </w:t>
      </w:r>
      <w:r>
        <w:rPr>
          <w:rFonts w:ascii="宋体" w:hAnsi="宋体"/>
        </w:rPr>
        <w:t>C、定额成本法</w:t>
      </w:r>
      <w:r>
        <w:rPr>
          <w:rFonts w:ascii="宋体" w:hAnsi="宋体"/>
        </w:rPr>
        <w:tab/>
      </w:r>
      <w:r>
        <w:rPr>
          <w:rFonts w:hint="eastAsia" w:ascii="宋体" w:hAnsi="宋体"/>
          <w:lang w:val="en-US" w:eastAsia="zh-CN"/>
        </w:rPr>
        <w:t xml:space="preserve">     </w:t>
      </w:r>
      <w:r>
        <w:rPr>
          <w:rFonts w:ascii="宋体" w:hAnsi="宋体"/>
        </w:rPr>
        <w:t>D、简化的分批法</w:t>
      </w:r>
    </w:p>
    <w:p>
      <w:pPr>
        <w:tabs>
          <w:tab w:val="left" w:pos="4253"/>
        </w:tabs>
        <w:snapToGrid w:val="0"/>
        <w:rPr>
          <w:rFonts w:ascii="宋体" w:hAnsi="宋体"/>
        </w:rPr>
      </w:pPr>
      <w:r>
        <w:rPr>
          <w:rFonts w:ascii="宋体" w:hAnsi="宋体"/>
        </w:rPr>
        <w:t>12、某企业不可修复废品的生产成本为6000元，残料价值2300元，应收赔偿款200元，则不可修复废品的净损失为</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A、3500元</w:t>
      </w:r>
      <w:r>
        <w:rPr>
          <w:rFonts w:hint="eastAsia" w:ascii="宋体" w:hAnsi="宋体"/>
        </w:rPr>
        <w:t xml:space="preserve">  </w:t>
      </w:r>
      <w:r>
        <w:rPr>
          <w:rFonts w:hint="eastAsia" w:ascii="宋体" w:hAnsi="宋体"/>
          <w:lang w:val="en-US" w:eastAsia="zh-CN"/>
        </w:rPr>
        <w:t xml:space="preserve">         </w:t>
      </w:r>
      <w:r>
        <w:rPr>
          <w:rFonts w:ascii="宋体" w:hAnsi="宋体"/>
        </w:rPr>
        <w:t>B、3700元</w:t>
      </w:r>
      <w:r>
        <w:rPr>
          <w:rFonts w:hint="eastAsia" w:ascii="宋体" w:hAnsi="宋体"/>
        </w:rPr>
        <w:t xml:space="preserve">    </w:t>
      </w:r>
      <w:r>
        <w:rPr>
          <w:rFonts w:hint="eastAsia" w:ascii="宋体" w:hAnsi="宋体"/>
          <w:lang w:val="en-US" w:eastAsia="zh-CN"/>
        </w:rPr>
        <w:t xml:space="preserve">         </w:t>
      </w:r>
      <w:r>
        <w:rPr>
          <w:rFonts w:ascii="宋体" w:hAnsi="宋体"/>
        </w:rPr>
        <w:t>C、5800元</w:t>
      </w:r>
      <w:r>
        <w:rPr>
          <w:rFonts w:ascii="宋体" w:hAnsi="宋体"/>
        </w:rPr>
        <w:tab/>
      </w:r>
      <w:r>
        <w:rPr>
          <w:rFonts w:hint="eastAsia" w:ascii="宋体" w:hAnsi="宋体"/>
          <w:lang w:val="en-US" w:eastAsia="zh-CN"/>
        </w:rPr>
        <w:t xml:space="preserve">         </w:t>
      </w:r>
      <w:r>
        <w:rPr>
          <w:rFonts w:ascii="宋体" w:hAnsi="宋体"/>
        </w:rPr>
        <w:t>D、6000元</w:t>
      </w:r>
    </w:p>
    <w:p>
      <w:pPr>
        <w:tabs>
          <w:tab w:val="left" w:pos="4253"/>
        </w:tabs>
        <w:snapToGrid w:val="0"/>
        <w:rPr>
          <w:rFonts w:ascii="宋体" w:hAnsi="宋体"/>
        </w:rPr>
      </w:pPr>
      <w:r>
        <w:rPr>
          <w:rFonts w:ascii="宋体" w:hAnsi="宋体"/>
        </w:rPr>
        <w:t>13、在定额成本法下，</w:t>
      </w:r>
      <w:r>
        <w:rPr>
          <w:rFonts w:ascii="宋体" w:hAnsi="宋体"/>
          <w:em w:val="dot"/>
        </w:rPr>
        <w:t>不影响</w:t>
      </w:r>
      <w:r>
        <w:rPr>
          <w:rFonts w:ascii="宋体" w:hAnsi="宋体"/>
        </w:rPr>
        <w:t>产品实际成本的是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A、月初定额成本</w:t>
      </w:r>
      <w:r>
        <w:rPr>
          <w:rFonts w:hint="eastAsia" w:ascii="宋体" w:hAnsi="宋体"/>
          <w:lang w:val="en-US" w:eastAsia="zh-CN"/>
        </w:rPr>
        <w:t xml:space="preserve">      </w:t>
      </w:r>
      <w:r>
        <w:rPr>
          <w:rFonts w:ascii="宋体" w:hAnsi="宋体"/>
        </w:rPr>
        <w:t>B、月末定额成本</w:t>
      </w:r>
      <w:r>
        <w:rPr>
          <w:rFonts w:hint="eastAsia" w:ascii="宋体" w:hAnsi="宋体"/>
          <w:lang w:val="en-US" w:eastAsia="zh-CN"/>
        </w:rPr>
        <w:t xml:space="preserve">       </w:t>
      </w:r>
      <w:r>
        <w:rPr>
          <w:rFonts w:ascii="宋体" w:hAnsi="宋体"/>
        </w:rPr>
        <w:t>C、定额变动</w:t>
      </w:r>
      <w:r>
        <w:rPr>
          <w:rFonts w:ascii="宋体" w:hAnsi="宋体"/>
        </w:rPr>
        <w:tab/>
      </w:r>
      <w:r>
        <w:rPr>
          <w:rFonts w:hint="eastAsia" w:ascii="宋体" w:hAnsi="宋体"/>
          <w:lang w:val="en-US" w:eastAsia="zh-CN"/>
        </w:rPr>
        <w:t xml:space="preserve">         </w:t>
      </w:r>
      <w:r>
        <w:rPr>
          <w:rFonts w:ascii="宋体" w:hAnsi="宋体"/>
        </w:rPr>
        <w:t>D、脱离定额的差异</w:t>
      </w:r>
    </w:p>
    <w:p>
      <w:pPr>
        <w:tabs>
          <w:tab w:val="left" w:pos="4253"/>
        </w:tabs>
        <w:snapToGrid w:val="0"/>
        <w:rPr>
          <w:rFonts w:ascii="宋体" w:hAnsi="宋体"/>
        </w:rPr>
      </w:pPr>
      <w:r>
        <w:rPr>
          <w:rFonts w:ascii="宋体" w:hAnsi="宋体"/>
        </w:rPr>
        <w:t>14、如果企业各月末在产品数量较少，或者虽然在产品数量较多，但各月之间在产品数量变化不大的情况下，生产费用在完工产品与在产品之间的分配可以采用的分配方法是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A、约当产量法</w:t>
      </w:r>
      <w:r>
        <w:rPr>
          <w:rFonts w:ascii="宋体" w:hAnsi="宋体"/>
        </w:rPr>
        <w:tab/>
      </w:r>
      <w:r>
        <w:rPr>
          <w:rFonts w:hint="eastAsia" w:ascii="宋体" w:hAnsi="宋体"/>
          <w:lang w:val="en-US" w:eastAsia="zh-CN"/>
        </w:rPr>
        <w:t xml:space="preserve">  </w:t>
      </w:r>
      <w:r>
        <w:rPr>
          <w:rFonts w:ascii="宋体" w:hAnsi="宋体"/>
        </w:rPr>
        <w:t>B、在产品按所耗原材料费用计价法</w:t>
      </w:r>
    </w:p>
    <w:p>
      <w:pPr>
        <w:tabs>
          <w:tab w:val="left" w:pos="4253"/>
        </w:tabs>
        <w:snapToGrid w:val="0"/>
        <w:rPr>
          <w:rFonts w:ascii="宋体" w:hAnsi="宋体"/>
        </w:rPr>
      </w:pPr>
      <w:r>
        <w:rPr>
          <w:rFonts w:ascii="宋体" w:hAnsi="宋体"/>
        </w:rPr>
        <w:t>C、在产品按年初固定成本计算</w:t>
      </w:r>
      <w:r>
        <w:rPr>
          <w:rFonts w:ascii="宋体" w:hAnsi="宋体"/>
        </w:rPr>
        <w:tab/>
      </w:r>
      <w:r>
        <w:rPr>
          <w:rFonts w:hint="eastAsia" w:ascii="宋体" w:hAnsi="宋体"/>
          <w:lang w:val="en-US" w:eastAsia="zh-CN"/>
        </w:rPr>
        <w:t xml:space="preserve">  </w:t>
      </w:r>
      <w:r>
        <w:rPr>
          <w:rFonts w:ascii="宋体" w:hAnsi="宋体"/>
        </w:rPr>
        <w:t>D、在产品按完工产品计算法</w:t>
      </w:r>
    </w:p>
    <w:p>
      <w:pPr>
        <w:tabs>
          <w:tab w:val="left" w:pos="4253"/>
        </w:tabs>
        <w:snapToGrid w:val="0"/>
        <w:rPr>
          <w:rFonts w:ascii="宋体" w:hAnsi="宋体"/>
        </w:rPr>
      </w:pPr>
      <w:r>
        <w:rPr>
          <w:rFonts w:ascii="宋体" w:hAnsi="宋体"/>
        </w:rPr>
        <w:t>15、下列支出中，应该计入销售费用的是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A、市场营销总监的薪酬</w:t>
      </w:r>
      <w:r>
        <w:rPr>
          <w:rFonts w:ascii="宋体" w:hAnsi="宋体"/>
        </w:rPr>
        <w:tab/>
      </w:r>
      <w:r>
        <w:rPr>
          <w:rFonts w:hint="eastAsia" w:ascii="宋体" w:hAnsi="宋体"/>
          <w:lang w:val="en-US" w:eastAsia="zh-CN"/>
        </w:rPr>
        <w:t xml:space="preserve">  </w:t>
      </w:r>
      <w:r>
        <w:rPr>
          <w:rFonts w:ascii="宋体" w:hAnsi="宋体"/>
        </w:rPr>
        <w:t>B、专设销售机构人员的薪酬</w:t>
      </w:r>
    </w:p>
    <w:p>
      <w:pPr>
        <w:tabs>
          <w:tab w:val="left" w:pos="4253"/>
        </w:tabs>
        <w:snapToGrid w:val="0"/>
        <w:rPr>
          <w:rFonts w:ascii="宋体" w:hAnsi="宋体"/>
        </w:rPr>
      </w:pPr>
      <w:r>
        <w:rPr>
          <w:rFonts w:ascii="宋体" w:hAnsi="宋体"/>
        </w:rPr>
        <w:t>C、企业销售科人员的薪酬</w:t>
      </w:r>
      <w:r>
        <w:rPr>
          <w:rFonts w:ascii="宋体" w:hAnsi="宋体"/>
        </w:rPr>
        <w:tab/>
      </w:r>
      <w:r>
        <w:rPr>
          <w:rFonts w:hint="eastAsia" w:ascii="宋体" w:hAnsi="宋体"/>
          <w:lang w:val="en-US" w:eastAsia="zh-CN"/>
        </w:rPr>
        <w:t xml:space="preserve">  </w:t>
      </w:r>
      <w:r>
        <w:rPr>
          <w:rFonts w:ascii="宋体" w:hAnsi="宋体"/>
        </w:rPr>
        <w:t>D、负责采购供应管理人员的差旅费</w:t>
      </w:r>
    </w:p>
    <w:p>
      <w:pPr>
        <w:tabs>
          <w:tab w:val="left" w:pos="4253"/>
        </w:tabs>
        <w:snapToGrid w:val="0"/>
        <w:rPr>
          <w:rFonts w:ascii="宋体" w:hAnsi="宋体"/>
        </w:rPr>
      </w:pPr>
      <w:r>
        <w:rPr>
          <w:rFonts w:ascii="宋体" w:hAnsi="宋体"/>
        </w:rPr>
        <w:t>16、在确定可比产品成本降低计划完成情况各因素的影响程度时，应采用</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A、比率分析法</w:t>
      </w:r>
      <w:r>
        <w:rPr>
          <w:rFonts w:hint="eastAsia" w:ascii="宋体" w:hAnsi="宋体"/>
          <w:lang w:val="en-US" w:eastAsia="zh-CN"/>
        </w:rPr>
        <w:t xml:space="preserve">        </w:t>
      </w:r>
      <w:r>
        <w:rPr>
          <w:rFonts w:ascii="宋体" w:hAnsi="宋体"/>
        </w:rPr>
        <w:t>B、比较分析法</w:t>
      </w:r>
      <w:r>
        <w:rPr>
          <w:rFonts w:hint="eastAsia" w:ascii="宋体" w:hAnsi="宋体"/>
          <w:lang w:val="en-US" w:eastAsia="zh-CN"/>
        </w:rPr>
        <w:t xml:space="preserve">         </w:t>
      </w:r>
      <w:r>
        <w:rPr>
          <w:rFonts w:ascii="宋体" w:hAnsi="宋体"/>
        </w:rPr>
        <w:t>C、动态分析法</w:t>
      </w:r>
      <w:r>
        <w:rPr>
          <w:rFonts w:ascii="宋体" w:hAnsi="宋体"/>
        </w:rPr>
        <w:tab/>
      </w:r>
      <w:r>
        <w:rPr>
          <w:rFonts w:hint="eastAsia" w:ascii="宋体" w:hAnsi="宋体"/>
          <w:lang w:val="en-US" w:eastAsia="zh-CN"/>
        </w:rPr>
        <w:t xml:space="preserve">     </w:t>
      </w:r>
      <w:r>
        <w:rPr>
          <w:rFonts w:ascii="宋体" w:hAnsi="宋体"/>
        </w:rPr>
        <w:t>D、连环替代法</w:t>
      </w:r>
    </w:p>
    <w:p>
      <w:pPr>
        <w:tabs>
          <w:tab w:val="left" w:pos="4253"/>
        </w:tabs>
        <w:snapToGrid w:val="0"/>
        <w:rPr>
          <w:rFonts w:ascii="宋体" w:hAnsi="宋体"/>
        </w:rPr>
      </w:pPr>
      <w:r>
        <w:rPr>
          <w:rFonts w:ascii="宋体" w:hAnsi="宋体"/>
        </w:rPr>
        <w:t>17、下列方法中，可用于计算材料脱离定额差异的方法是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A、定额法</w:t>
      </w:r>
      <w:r>
        <w:rPr>
          <w:rFonts w:hint="eastAsia" w:ascii="宋体" w:hAnsi="宋体"/>
          <w:lang w:val="en-US" w:eastAsia="zh-CN"/>
        </w:rPr>
        <w:t xml:space="preserve">            </w:t>
      </w:r>
      <w:r>
        <w:rPr>
          <w:rFonts w:ascii="宋体" w:hAnsi="宋体"/>
        </w:rPr>
        <w:t>B、代数法</w:t>
      </w:r>
      <w:r>
        <w:rPr>
          <w:rFonts w:hint="eastAsia" w:ascii="宋体" w:hAnsi="宋体"/>
          <w:lang w:val="en-US" w:eastAsia="zh-CN"/>
        </w:rPr>
        <w:t xml:space="preserve">             </w:t>
      </w:r>
      <w:r>
        <w:rPr>
          <w:rFonts w:ascii="宋体" w:hAnsi="宋体"/>
        </w:rPr>
        <w:t>C、盘存法</w:t>
      </w:r>
      <w:r>
        <w:rPr>
          <w:rFonts w:hint="eastAsia" w:ascii="宋体" w:hAnsi="宋体"/>
          <w:lang w:val="en-US" w:eastAsia="zh-CN"/>
        </w:rPr>
        <w:t xml:space="preserve">             </w:t>
      </w:r>
      <w:r>
        <w:rPr>
          <w:rFonts w:ascii="宋体" w:hAnsi="宋体"/>
        </w:rPr>
        <w:t>D、系数法</w:t>
      </w:r>
    </w:p>
    <w:p>
      <w:pPr>
        <w:tabs>
          <w:tab w:val="left" w:pos="4253"/>
        </w:tabs>
        <w:snapToGrid w:val="0"/>
        <w:rPr>
          <w:rFonts w:ascii="宋体" w:hAnsi="宋体"/>
        </w:rPr>
      </w:pPr>
      <w:r>
        <w:rPr>
          <w:rFonts w:ascii="宋体" w:hAnsi="宋体"/>
        </w:rPr>
        <w:t>18、成本还原的目的是为了反映</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A、构成产成品的原始成本项目</w:t>
      </w:r>
      <w:r>
        <w:rPr>
          <w:rFonts w:ascii="宋体" w:hAnsi="宋体"/>
        </w:rPr>
        <w:tab/>
      </w:r>
      <w:r>
        <w:rPr>
          <w:rFonts w:hint="eastAsia" w:ascii="宋体" w:hAnsi="宋体"/>
          <w:lang w:val="en-US" w:eastAsia="zh-CN"/>
        </w:rPr>
        <w:t xml:space="preserve">  </w:t>
      </w:r>
      <w:r>
        <w:rPr>
          <w:rFonts w:ascii="宋体" w:hAnsi="宋体"/>
        </w:rPr>
        <w:t>B、构成半成品的成本项目</w:t>
      </w:r>
    </w:p>
    <w:p>
      <w:pPr>
        <w:tabs>
          <w:tab w:val="left" w:pos="4253"/>
        </w:tabs>
        <w:snapToGrid w:val="0"/>
        <w:rPr>
          <w:rFonts w:ascii="宋体" w:hAnsi="宋体"/>
        </w:rPr>
      </w:pPr>
      <w:r>
        <w:rPr>
          <w:rFonts w:ascii="宋体" w:hAnsi="宋体"/>
        </w:rPr>
        <w:t>C、构成产成品的实际成本</w:t>
      </w:r>
      <w:r>
        <w:rPr>
          <w:rFonts w:ascii="宋体" w:hAnsi="宋体"/>
        </w:rPr>
        <w:tab/>
      </w:r>
      <w:r>
        <w:rPr>
          <w:rFonts w:hint="eastAsia" w:ascii="宋体" w:hAnsi="宋体"/>
          <w:lang w:val="en-US" w:eastAsia="zh-CN"/>
        </w:rPr>
        <w:t xml:space="preserve">  </w:t>
      </w:r>
      <w:r>
        <w:rPr>
          <w:rFonts w:ascii="宋体" w:hAnsi="宋体"/>
        </w:rPr>
        <w:t>D、构成当月在产品的原始成本项目</w:t>
      </w:r>
    </w:p>
    <w:p>
      <w:pPr>
        <w:tabs>
          <w:tab w:val="left" w:pos="4253"/>
        </w:tabs>
        <w:snapToGrid w:val="0"/>
        <w:rPr>
          <w:rFonts w:ascii="宋体" w:hAnsi="宋体"/>
        </w:rPr>
      </w:pPr>
      <w:r>
        <w:rPr>
          <w:rFonts w:ascii="宋体" w:hAnsi="宋体"/>
        </w:rPr>
        <w:t>19、下列关于分步法的描述，正确的是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rPr>
      </w:pPr>
      <w:r>
        <w:rPr>
          <w:rFonts w:ascii="宋体" w:hAnsi="宋体"/>
        </w:rPr>
        <w:t>A、逐步结转分步法的完工产品，是狭义的完工产品</w:t>
      </w:r>
    </w:p>
    <w:p>
      <w:pPr>
        <w:tabs>
          <w:tab w:val="left" w:pos="4253"/>
        </w:tabs>
        <w:snapToGrid w:val="0"/>
        <w:rPr>
          <w:rFonts w:ascii="宋体" w:hAnsi="宋体"/>
        </w:rPr>
      </w:pPr>
      <w:r>
        <w:rPr>
          <w:rFonts w:ascii="宋体" w:hAnsi="宋体"/>
        </w:rPr>
        <w:t>B、逐步结转分步法的半成品成本，不随实务而转移</w:t>
      </w:r>
    </w:p>
    <w:p>
      <w:pPr>
        <w:tabs>
          <w:tab w:val="left" w:pos="4253"/>
        </w:tabs>
        <w:snapToGrid w:val="0"/>
        <w:rPr>
          <w:rFonts w:ascii="宋体" w:hAnsi="宋体"/>
        </w:rPr>
      </w:pPr>
      <w:r>
        <w:rPr>
          <w:rFonts w:ascii="宋体" w:hAnsi="宋体"/>
        </w:rPr>
        <w:t>C、平行结转分步法的完工产品，是广义的完工产品</w:t>
      </w:r>
    </w:p>
    <w:p>
      <w:pPr>
        <w:tabs>
          <w:tab w:val="left" w:pos="4253"/>
        </w:tabs>
        <w:snapToGrid w:val="0"/>
        <w:rPr>
          <w:rFonts w:ascii="宋体" w:hAnsi="宋体"/>
        </w:rPr>
      </w:pPr>
      <w:r>
        <w:rPr>
          <w:rFonts w:ascii="宋体" w:hAnsi="宋体"/>
        </w:rPr>
        <w:t>D、平行结转分步法的完工产品，是最后步骤的完工产品</w:t>
      </w:r>
    </w:p>
    <w:p>
      <w:pPr>
        <w:tabs>
          <w:tab w:val="left" w:pos="4253"/>
        </w:tabs>
        <w:snapToGrid w:val="0"/>
        <w:rPr>
          <w:rFonts w:ascii="宋体" w:hAnsi="宋体"/>
        </w:rPr>
      </w:pPr>
      <w:r>
        <w:rPr>
          <w:rFonts w:ascii="宋体" w:hAnsi="宋体"/>
        </w:rPr>
        <w:t>20、下列方法中，</w:t>
      </w:r>
      <w:r>
        <w:rPr>
          <w:rFonts w:ascii="宋体" w:hAnsi="宋体"/>
          <w:em w:val="dot"/>
        </w:rPr>
        <w:t>不属于</w:t>
      </w:r>
      <w:r>
        <w:rPr>
          <w:rFonts w:ascii="宋体" w:hAnsi="宋体"/>
        </w:rPr>
        <w:t>产品生命周期成本核算方法的是</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rPr>
      </w:pPr>
      <w:r>
        <w:rPr>
          <w:rFonts w:ascii="宋体" w:hAnsi="宋体"/>
        </w:rPr>
        <w:t>A、滚动预算法</w:t>
      </w:r>
      <w:r>
        <w:rPr>
          <w:rFonts w:hint="eastAsia" w:ascii="宋体" w:hAnsi="宋体"/>
          <w:lang w:val="en-US" w:eastAsia="zh-CN"/>
        </w:rPr>
        <w:t xml:space="preserve">       </w:t>
      </w:r>
      <w:r>
        <w:rPr>
          <w:rFonts w:ascii="宋体" w:hAnsi="宋体"/>
        </w:rPr>
        <w:t>B、全面预算法</w:t>
      </w:r>
      <w:r>
        <w:rPr>
          <w:rFonts w:hint="eastAsia" w:ascii="宋体" w:hAnsi="宋体"/>
          <w:lang w:val="en-US" w:eastAsia="zh-CN"/>
        </w:rPr>
        <w:t xml:space="preserve">          </w:t>
      </w:r>
      <w:r>
        <w:rPr>
          <w:rFonts w:ascii="宋体" w:hAnsi="宋体"/>
        </w:rPr>
        <w:t>C、参数模型法</w:t>
      </w:r>
      <w:r>
        <w:rPr>
          <w:rFonts w:ascii="宋体" w:hAnsi="宋体"/>
        </w:rPr>
        <w:tab/>
      </w:r>
      <w:r>
        <w:rPr>
          <w:rFonts w:hint="eastAsia" w:ascii="宋体" w:hAnsi="宋体"/>
          <w:lang w:val="en-US" w:eastAsia="zh-CN"/>
        </w:rPr>
        <w:t xml:space="preserve">     </w:t>
      </w:r>
      <w:r>
        <w:rPr>
          <w:rFonts w:ascii="宋体" w:hAnsi="宋体"/>
        </w:rPr>
        <w:t>D、类推模型法</w:t>
      </w:r>
    </w:p>
    <w:p>
      <w:pPr>
        <w:tabs>
          <w:tab w:val="left" w:pos="4253"/>
        </w:tabs>
        <w:snapToGrid w:val="0"/>
        <w:rPr>
          <w:rFonts w:ascii="宋体" w:hAnsi="宋体"/>
          <w:b/>
        </w:rPr>
      </w:pPr>
      <w:r>
        <w:rPr>
          <w:rFonts w:ascii="宋体" w:hAnsi="宋体"/>
          <w:b/>
        </w:rPr>
        <w:t>二、多项选择题</w:t>
      </w:r>
    </w:p>
    <w:p>
      <w:pPr>
        <w:tabs>
          <w:tab w:val="left" w:pos="4253"/>
        </w:tabs>
        <w:snapToGrid w:val="0"/>
        <w:rPr>
          <w:rFonts w:ascii="宋体" w:hAnsi="宋体"/>
        </w:rPr>
      </w:pPr>
      <w:r>
        <w:rPr>
          <w:rFonts w:ascii="宋体" w:hAnsi="宋体"/>
        </w:rPr>
        <w:t>21、计入成本的生产费用，按经济用途一般可以分为</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A、直接材料</w:t>
      </w:r>
      <w:r>
        <w:rPr>
          <w:rFonts w:hint="eastAsia" w:ascii="宋体" w:hAnsi="宋体"/>
          <w:lang w:val="en-US" w:eastAsia="zh-CN"/>
        </w:rPr>
        <w:t xml:space="preserve">       </w:t>
      </w:r>
      <w:r>
        <w:rPr>
          <w:rFonts w:ascii="宋体" w:hAnsi="宋体"/>
        </w:rPr>
        <w:t>B、制造费用</w:t>
      </w:r>
      <w:r>
        <w:rPr>
          <w:rFonts w:hint="eastAsia" w:ascii="宋体" w:hAnsi="宋体"/>
          <w:lang w:val="en-US" w:eastAsia="zh-CN"/>
        </w:rPr>
        <w:t xml:space="preserve">         </w:t>
      </w:r>
      <w:r>
        <w:rPr>
          <w:rFonts w:ascii="宋体" w:hAnsi="宋体"/>
        </w:rPr>
        <w:t>C、期间费用</w:t>
      </w:r>
      <w:r>
        <w:rPr>
          <w:rFonts w:hint="eastAsia" w:ascii="宋体" w:hAnsi="宋体"/>
          <w:lang w:val="en-US" w:eastAsia="zh-CN"/>
        </w:rPr>
        <w:t xml:space="preserve">      </w:t>
      </w:r>
      <w:r>
        <w:rPr>
          <w:rFonts w:ascii="宋体" w:hAnsi="宋体"/>
        </w:rPr>
        <w:t>D、直接人工</w:t>
      </w:r>
      <w:r>
        <w:rPr>
          <w:rFonts w:hint="eastAsia" w:ascii="宋体" w:hAnsi="宋体"/>
          <w:lang w:val="en-US" w:eastAsia="zh-CN"/>
        </w:rPr>
        <w:t xml:space="preserve">       </w:t>
      </w:r>
      <w:r>
        <w:rPr>
          <w:rFonts w:ascii="宋体" w:hAnsi="宋体"/>
        </w:rPr>
        <w:t>E、折旧费用</w:t>
      </w:r>
    </w:p>
    <w:p>
      <w:pPr>
        <w:tabs>
          <w:tab w:val="left" w:pos="4253"/>
        </w:tabs>
        <w:snapToGrid w:val="0"/>
        <w:rPr>
          <w:rFonts w:ascii="宋体" w:hAnsi="宋体"/>
        </w:rPr>
      </w:pPr>
      <w:r>
        <w:rPr>
          <w:rFonts w:ascii="宋体" w:hAnsi="宋体"/>
        </w:rPr>
        <w:t>22、企业的非货币性福利，通常包括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A、以自己生产的产品发放给职工作为福利</w:t>
      </w:r>
      <w:r>
        <w:rPr>
          <w:rFonts w:hint="eastAsia" w:ascii="宋体" w:hAnsi="宋体"/>
          <w:lang w:val="en-US" w:eastAsia="zh-CN"/>
        </w:rPr>
        <w:t xml:space="preserve"> </w:t>
      </w:r>
      <w:r>
        <w:rPr>
          <w:rFonts w:ascii="宋体" w:hAnsi="宋体"/>
        </w:rPr>
        <w:t>B、向职工无偿提供自己拥有的车子使用</w:t>
      </w:r>
    </w:p>
    <w:p>
      <w:pPr>
        <w:tabs>
          <w:tab w:val="left" w:pos="4253"/>
        </w:tabs>
        <w:snapToGrid w:val="0"/>
        <w:rPr>
          <w:rFonts w:hint="eastAsia" w:ascii="宋体" w:hAnsi="宋体"/>
        </w:rPr>
      </w:pPr>
      <w:r>
        <w:rPr>
          <w:rFonts w:ascii="宋体" w:hAnsi="宋体"/>
        </w:rPr>
        <w:t>C、以外购商品作为福利提供给职工</w:t>
      </w:r>
      <w:r>
        <w:rPr>
          <w:rFonts w:hint="eastAsia" w:ascii="宋体" w:hAnsi="宋体"/>
          <w:lang w:val="en-US" w:eastAsia="zh-CN"/>
        </w:rPr>
        <w:t xml:space="preserve">       </w:t>
      </w:r>
      <w:r>
        <w:rPr>
          <w:rFonts w:ascii="宋体" w:hAnsi="宋体"/>
        </w:rPr>
        <w:t>D、为职工垫付医药费</w:t>
      </w:r>
    </w:p>
    <w:p>
      <w:pPr>
        <w:tabs>
          <w:tab w:val="left" w:pos="4253"/>
        </w:tabs>
        <w:snapToGrid w:val="0"/>
        <w:rPr>
          <w:rFonts w:ascii="宋体" w:hAnsi="宋体"/>
        </w:rPr>
      </w:pPr>
      <w:r>
        <w:rPr>
          <w:rFonts w:ascii="宋体" w:hAnsi="宋体"/>
        </w:rPr>
        <w:t>E、为职工无偿提供类似医疗保健服务</w:t>
      </w:r>
    </w:p>
    <w:p>
      <w:pPr>
        <w:tabs>
          <w:tab w:val="left" w:pos="4253"/>
        </w:tabs>
        <w:snapToGrid w:val="0"/>
        <w:rPr>
          <w:rFonts w:ascii="宋体" w:hAnsi="宋体"/>
        </w:rPr>
      </w:pPr>
      <w:r>
        <w:rPr>
          <w:rFonts w:ascii="宋体" w:hAnsi="宋体"/>
        </w:rPr>
        <w:t>23、为了加强成本核算，企业应重点做好的各项基础工作包括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A、建立健全各项原始记录</w:t>
      </w:r>
      <w:r>
        <w:rPr>
          <w:rFonts w:hint="eastAsia" w:ascii="宋体" w:hAnsi="宋体"/>
          <w:lang w:val="en-US" w:eastAsia="zh-CN"/>
        </w:rPr>
        <w:t xml:space="preserve">               </w:t>
      </w:r>
      <w:r>
        <w:rPr>
          <w:rFonts w:ascii="宋体" w:hAnsi="宋体"/>
        </w:rPr>
        <w:t>B、做好定额的制定和修订工作</w:t>
      </w:r>
    </w:p>
    <w:p>
      <w:pPr>
        <w:tabs>
          <w:tab w:val="left" w:pos="4253"/>
        </w:tabs>
        <w:snapToGrid w:val="0"/>
        <w:rPr>
          <w:rFonts w:ascii="宋体" w:hAnsi="宋体"/>
        </w:rPr>
      </w:pPr>
      <w:r>
        <w:rPr>
          <w:rFonts w:ascii="宋体" w:hAnsi="宋体"/>
        </w:rPr>
        <w:t>C、做好各项材料物资的计量、收发、领退和盘点工作</w:t>
      </w:r>
    </w:p>
    <w:p>
      <w:pPr>
        <w:tabs>
          <w:tab w:val="left" w:pos="4253"/>
        </w:tabs>
        <w:snapToGrid w:val="0"/>
        <w:rPr>
          <w:rFonts w:ascii="宋体" w:hAnsi="宋体"/>
        </w:rPr>
      </w:pPr>
      <w:r>
        <w:rPr>
          <w:rFonts w:ascii="宋体" w:hAnsi="宋体"/>
        </w:rPr>
        <w:t>D、正确划分各会计期间成本费用的界限</w:t>
      </w:r>
      <w:r>
        <w:rPr>
          <w:rFonts w:hint="eastAsia" w:ascii="宋体" w:hAnsi="宋体"/>
          <w:lang w:val="en-US" w:eastAsia="zh-CN"/>
        </w:rPr>
        <w:t xml:space="preserve">   </w:t>
      </w:r>
      <w:r>
        <w:rPr>
          <w:rFonts w:ascii="宋体" w:hAnsi="宋体"/>
        </w:rPr>
        <w:t>E、选择合理的成本计算方法</w:t>
      </w:r>
    </w:p>
    <w:p>
      <w:pPr>
        <w:tabs>
          <w:tab w:val="left" w:pos="4253"/>
        </w:tabs>
        <w:snapToGrid w:val="0"/>
        <w:rPr>
          <w:rFonts w:ascii="宋体" w:hAnsi="宋体"/>
        </w:rPr>
      </w:pPr>
      <w:r>
        <w:rPr>
          <w:rFonts w:ascii="宋体" w:hAnsi="宋体"/>
        </w:rPr>
        <w:t>24、根据产品生产工艺特点和生产组织管理方式，成本计算的基本方法包括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A、品种法</w:t>
      </w:r>
      <w:r>
        <w:rPr>
          <w:rFonts w:hint="eastAsia" w:ascii="宋体" w:hAnsi="宋体"/>
          <w:lang w:val="en-US" w:eastAsia="zh-CN"/>
        </w:rPr>
        <w:t xml:space="preserve">          </w:t>
      </w:r>
      <w:r>
        <w:rPr>
          <w:rFonts w:ascii="宋体" w:hAnsi="宋体"/>
        </w:rPr>
        <w:t>B、分批法</w:t>
      </w:r>
      <w:r>
        <w:rPr>
          <w:rFonts w:hint="eastAsia" w:ascii="宋体" w:hAnsi="宋体"/>
          <w:lang w:val="en-US" w:eastAsia="zh-CN"/>
        </w:rPr>
        <w:t xml:space="preserve">          </w:t>
      </w:r>
      <w:r>
        <w:rPr>
          <w:rFonts w:ascii="宋体" w:hAnsi="宋体"/>
        </w:rPr>
        <w:t>C、分类法</w:t>
      </w:r>
      <w:r>
        <w:rPr>
          <w:rFonts w:hint="eastAsia" w:ascii="宋体" w:hAnsi="宋体"/>
          <w:lang w:val="en-US" w:eastAsia="zh-CN"/>
        </w:rPr>
        <w:t xml:space="preserve">         </w:t>
      </w:r>
      <w:r>
        <w:rPr>
          <w:rFonts w:ascii="宋体" w:hAnsi="宋体"/>
        </w:rPr>
        <w:t>D、定额法</w:t>
      </w:r>
      <w:r>
        <w:rPr>
          <w:rFonts w:hint="eastAsia" w:ascii="宋体" w:hAnsi="宋体"/>
          <w:lang w:val="en-US" w:eastAsia="zh-CN"/>
        </w:rPr>
        <w:t xml:space="preserve">        </w:t>
      </w:r>
      <w:r>
        <w:rPr>
          <w:rFonts w:ascii="宋体" w:hAnsi="宋体"/>
        </w:rPr>
        <w:t>E、分步法</w:t>
      </w:r>
    </w:p>
    <w:p>
      <w:pPr>
        <w:tabs>
          <w:tab w:val="left" w:pos="4253"/>
        </w:tabs>
        <w:snapToGrid w:val="0"/>
        <w:rPr>
          <w:rFonts w:ascii="宋体" w:hAnsi="宋体"/>
        </w:rPr>
      </w:pPr>
      <w:r>
        <w:rPr>
          <w:rFonts w:ascii="宋体" w:hAnsi="宋体"/>
        </w:rPr>
        <w:t>25、产品实际成本与标准成本之间的成本差异包括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rPr>
      </w:pPr>
      <w:r>
        <w:rPr>
          <w:rFonts w:ascii="宋体" w:hAnsi="宋体"/>
        </w:rPr>
        <w:t>A、产品数量差异</w:t>
      </w:r>
      <w:r>
        <w:rPr>
          <w:rFonts w:hint="eastAsia" w:ascii="宋体" w:hAnsi="宋体"/>
          <w:lang w:val="en-US" w:eastAsia="zh-CN"/>
        </w:rPr>
        <w:t xml:space="preserve">    </w:t>
      </w:r>
      <w:r>
        <w:rPr>
          <w:rFonts w:ascii="宋体" w:hAnsi="宋体"/>
        </w:rPr>
        <w:t>B、直接材料成本差异C、直接人工成本差异</w:t>
      </w:r>
      <w:r>
        <w:rPr>
          <w:rFonts w:ascii="宋体" w:hAnsi="宋体"/>
        </w:rPr>
        <w:tab/>
      </w:r>
    </w:p>
    <w:p>
      <w:pPr>
        <w:tabs>
          <w:tab w:val="left" w:pos="4253"/>
        </w:tabs>
        <w:snapToGrid w:val="0"/>
        <w:rPr>
          <w:rFonts w:ascii="宋体" w:hAnsi="宋体"/>
        </w:rPr>
      </w:pPr>
      <w:r>
        <w:rPr>
          <w:rFonts w:ascii="宋体" w:hAnsi="宋体"/>
        </w:rPr>
        <w:t>D、制造费用成本差异</w:t>
      </w:r>
      <w:r>
        <w:rPr>
          <w:rFonts w:hint="eastAsia" w:ascii="宋体" w:hAnsi="宋体"/>
          <w:lang w:val="en-US" w:eastAsia="zh-CN"/>
        </w:rPr>
        <w:t xml:space="preserve">                   </w:t>
      </w:r>
      <w:r>
        <w:rPr>
          <w:rFonts w:ascii="宋体" w:hAnsi="宋体"/>
        </w:rPr>
        <w:t>E、产品价格差异</w:t>
      </w:r>
    </w:p>
    <w:p>
      <w:pPr>
        <w:tabs>
          <w:tab w:val="left" w:pos="4253"/>
        </w:tabs>
        <w:snapToGrid w:val="0"/>
        <w:rPr>
          <w:rFonts w:ascii="宋体" w:hAnsi="宋体"/>
        </w:rPr>
      </w:pPr>
      <w:r>
        <w:rPr>
          <w:rFonts w:ascii="宋体" w:hAnsi="宋体"/>
        </w:rPr>
        <w:t>26、根据成本与业务量之间的依存关系，生产费用按成本性态可以分为</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A、固定成本</w:t>
      </w:r>
      <w:r>
        <w:rPr>
          <w:rFonts w:hint="eastAsia" w:ascii="宋体" w:hAnsi="宋体"/>
          <w:lang w:val="en-US" w:eastAsia="zh-CN"/>
        </w:rPr>
        <w:t xml:space="preserve">        </w:t>
      </w:r>
      <w:r>
        <w:rPr>
          <w:rFonts w:ascii="宋体" w:hAnsi="宋体"/>
        </w:rPr>
        <w:t>B、变动成本</w:t>
      </w:r>
      <w:r>
        <w:rPr>
          <w:rFonts w:hint="eastAsia" w:ascii="宋体" w:hAnsi="宋体"/>
          <w:lang w:val="en-US" w:eastAsia="zh-CN"/>
        </w:rPr>
        <w:t xml:space="preserve">        </w:t>
      </w:r>
      <w:r>
        <w:rPr>
          <w:rFonts w:ascii="宋体" w:hAnsi="宋体"/>
        </w:rPr>
        <w:t>C、混合成本</w:t>
      </w:r>
      <w:r>
        <w:rPr>
          <w:rFonts w:ascii="宋体" w:hAnsi="宋体"/>
        </w:rPr>
        <w:tab/>
      </w:r>
      <w:r>
        <w:rPr>
          <w:rFonts w:hint="eastAsia" w:ascii="宋体" w:hAnsi="宋体"/>
          <w:lang w:val="en-US" w:eastAsia="zh-CN"/>
        </w:rPr>
        <w:t xml:space="preserve">    </w:t>
      </w:r>
      <w:r>
        <w:rPr>
          <w:rFonts w:ascii="宋体" w:hAnsi="宋体"/>
        </w:rPr>
        <w:t>D、可控成本</w:t>
      </w:r>
      <w:r>
        <w:rPr>
          <w:rFonts w:hint="eastAsia" w:ascii="宋体" w:hAnsi="宋体"/>
          <w:lang w:val="en-US" w:eastAsia="zh-CN"/>
        </w:rPr>
        <w:t xml:space="preserve">      </w:t>
      </w:r>
      <w:r>
        <w:rPr>
          <w:rFonts w:ascii="宋体" w:hAnsi="宋体"/>
        </w:rPr>
        <w:t>E、不可控成本</w:t>
      </w:r>
    </w:p>
    <w:p>
      <w:pPr>
        <w:tabs>
          <w:tab w:val="left" w:pos="4253"/>
        </w:tabs>
        <w:snapToGrid w:val="0"/>
        <w:rPr>
          <w:rFonts w:ascii="宋体" w:hAnsi="宋体"/>
        </w:rPr>
      </w:pPr>
      <w:r>
        <w:rPr>
          <w:rFonts w:ascii="宋体" w:hAnsi="宋体"/>
        </w:rPr>
        <w:t>27、在实施作业成本核算的过程中，属于作业成本核算具体内容的有</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lang w:val="en-US" w:eastAsia="zh-CN"/>
        </w:rPr>
      </w:pPr>
      <w:r>
        <w:rPr>
          <w:rFonts w:ascii="宋体" w:hAnsi="宋体"/>
        </w:rPr>
        <w:t>A、作业调研和作业认定</w:t>
      </w:r>
      <w:r>
        <w:rPr>
          <w:rFonts w:hint="eastAsia" w:ascii="宋体" w:hAnsi="宋体"/>
          <w:lang w:val="en-US" w:eastAsia="zh-CN"/>
        </w:rPr>
        <w:t xml:space="preserve">                 </w:t>
      </w:r>
      <w:r>
        <w:rPr>
          <w:rFonts w:ascii="宋体" w:hAnsi="宋体"/>
        </w:rPr>
        <w:t>B、成本归集和设计模型</w:t>
      </w:r>
      <w:r>
        <w:rPr>
          <w:rFonts w:hint="eastAsia" w:ascii="宋体" w:hAnsi="宋体"/>
          <w:lang w:val="en-US" w:eastAsia="zh-CN"/>
        </w:rPr>
        <w:t xml:space="preserve"> </w:t>
      </w:r>
    </w:p>
    <w:p>
      <w:pPr>
        <w:tabs>
          <w:tab w:val="left" w:pos="4253"/>
        </w:tabs>
        <w:snapToGrid w:val="0"/>
        <w:rPr>
          <w:rFonts w:ascii="宋体" w:hAnsi="宋体"/>
        </w:rPr>
      </w:pPr>
      <w:r>
        <w:rPr>
          <w:rFonts w:ascii="宋体" w:hAnsi="宋体"/>
        </w:rPr>
        <w:t>C、应用软件和运行分析</w:t>
      </w:r>
      <w:r>
        <w:rPr>
          <w:rFonts w:hint="eastAsia" w:ascii="宋体" w:hAnsi="宋体"/>
          <w:lang w:val="en-US" w:eastAsia="zh-CN"/>
        </w:rPr>
        <w:t xml:space="preserve">                 </w:t>
      </w:r>
      <w:r>
        <w:rPr>
          <w:rFonts w:ascii="宋体" w:hAnsi="宋体"/>
        </w:rPr>
        <w:t>D、持续改进</w:t>
      </w:r>
      <w:r>
        <w:rPr>
          <w:rFonts w:hint="eastAsia" w:ascii="宋体" w:hAnsi="宋体"/>
          <w:lang w:val="en-US" w:eastAsia="zh-CN"/>
        </w:rPr>
        <w:t xml:space="preserve">                        </w:t>
      </w:r>
      <w:r>
        <w:rPr>
          <w:rFonts w:ascii="宋体" w:hAnsi="宋体"/>
        </w:rPr>
        <w:t>E、建立成本库</w:t>
      </w:r>
    </w:p>
    <w:p>
      <w:pPr>
        <w:tabs>
          <w:tab w:val="left" w:pos="4253"/>
        </w:tabs>
        <w:snapToGrid w:val="0"/>
        <w:rPr>
          <w:rFonts w:ascii="宋体" w:hAnsi="宋体"/>
        </w:rPr>
      </w:pPr>
      <w:r>
        <w:rPr>
          <w:rFonts w:ascii="宋体" w:hAnsi="宋体"/>
        </w:rPr>
        <w:t>28、下列各项中，属于企业管理费用的有</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A、董事会成员津贴</w:t>
      </w:r>
      <w:r>
        <w:rPr>
          <w:rFonts w:hint="eastAsia" w:ascii="宋体" w:hAnsi="宋体"/>
          <w:lang w:val="en-US" w:eastAsia="zh-CN"/>
        </w:rPr>
        <w:t xml:space="preserve">                     </w:t>
      </w:r>
      <w:r>
        <w:rPr>
          <w:rFonts w:ascii="宋体" w:hAnsi="宋体"/>
        </w:rPr>
        <w:t>B、聘请中介机构费用</w:t>
      </w:r>
    </w:p>
    <w:p>
      <w:pPr>
        <w:tabs>
          <w:tab w:val="left" w:pos="4253"/>
        </w:tabs>
        <w:snapToGrid w:val="0"/>
        <w:rPr>
          <w:rFonts w:hint="eastAsia" w:ascii="宋体" w:hAnsi="宋体"/>
          <w:lang w:val="en-US" w:eastAsia="zh-CN"/>
        </w:rPr>
      </w:pPr>
      <w:r>
        <w:rPr>
          <w:rFonts w:ascii="宋体" w:hAnsi="宋体"/>
        </w:rPr>
        <w:t>C、房产税和印花税</w:t>
      </w:r>
      <w:r>
        <w:rPr>
          <w:rFonts w:hint="eastAsia" w:ascii="宋体" w:hAnsi="宋体"/>
          <w:lang w:val="en-US" w:eastAsia="zh-CN"/>
        </w:rPr>
        <w:t xml:space="preserve">                     </w:t>
      </w:r>
      <w:r>
        <w:rPr>
          <w:rFonts w:ascii="宋体" w:hAnsi="宋体"/>
        </w:rPr>
        <w:t>D、公司经费</w:t>
      </w:r>
      <w:r>
        <w:rPr>
          <w:rFonts w:hint="eastAsia" w:ascii="宋体" w:hAnsi="宋体"/>
          <w:lang w:val="en-US" w:eastAsia="zh-CN"/>
        </w:rPr>
        <w:t xml:space="preserve">                 </w:t>
      </w:r>
    </w:p>
    <w:p>
      <w:pPr>
        <w:tabs>
          <w:tab w:val="left" w:pos="4253"/>
        </w:tabs>
        <w:snapToGrid w:val="0"/>
        <w:rPr>
          <w:rFonts w:ascii="宋体" w:hAnsi="宋体"/>
        </w:rPr>
      </w:pPr>
      <w:r>
        <w:rPr>
          <w:rFonts w:ascii="宋体" w:hAnsi="宋体"/>
        </w:rPr>
        <w:t>E、生产部门管理人员薪酬</w:t>
      </w:r>
    </w:p>
    <w:p>
      <w:pPr>
        <w:tabs>
          <w:tab w:val="left" w:pos="4253"/>
        </w:tabs>
        <w:snapToGrid w:val="0"/>
        <w:rPr>
          <w:rFonts w:ascii="宋体" w:hAnsi="宋体"/>
        </w:rPr>
      </w:pPr>
      <w:r>
        <w:rPr>
          <w:rFonts w:ascii="宋体" w:hAnsi="宋体"/>
        </w:rPr>
        <w:t>29、质量成本支出的内容包括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ascii="宋体" w:hAnsi="宋体"/>
        </w:rPr>
      </w:pPr>
      <w:r>
        <w:rPr>
          <w:rFonts w:ascii="宋体" w:hAnsi="宋体"/>
        </w:rPr>
        <w:t>A、预防性支出</w:t>
      </w:r>
      <w:r>
        <w:rPr>
          <w:rFonts w:hint="eastAsia" w:ascii="宋体" w:hAnsi="宋体"/>
          <w:lang w:val="en-US" w:eastAsia="zh-CN"/>
        </w:rPr>
        <w:t xml:space="preserve">                         </w:t>
      </w:r>
      <w:r>
        <w:rPr>
          <w:rFonts w:ascii="宋体" w:hAnsi="宋体"/>
        </w:rPr>
        <w:t>B、不合格产品的罚款支出</w:t>
      </w:r>
    </w:p>
    <w:p>
      <w:pPr>
        <w:tabs>
          <w:tab w:val="left" w:pos="4253"/>
        </w:tabs>
        <w:snapToGrid w:val="0"/>
        <w:rPr>
          <w:rFonts w:ascii="宋体" w:hAnsi="宋体"/>
        </w:rPr>
      </w:pPr>
      <w:r>
        <w:rPr>
          <w:rFonts w:ascii="宋体" w:hAnsi="宋体"/>
        </w:rPr>
        <w:t>C、评估性支出</w:t>
      </w:r>
      <w:r>
        <w:rPr>
          <w:rFonts w:hint="eastAsia" w:ascii="宋体" w:hAnsi="宋体"/>
          <w:lang w:val="en-US" w:eastAsia="zh-CN"/>
        </w:rPr>
        <w:t xml:space="preserve">                         </w:t>
      </w:r>
      <w:r>
        <w:rPr>
          <w:rFonts w:ascii="宋体" w:hAnsi="宋体"/>
        </w:rPr>
        <w:t>D、补救性支出</w:t>
      </w:r>
      <w:r>
        <w:rPr>
          <w:rFonts w:hint="eastAsia" w:ascii="宋体" w:hAnsi="宋体"/>
          <w:lang w:val="en-US" w:eastAsia="zh-CN"/>
        </w:rPr>
        <w:t xml:space="preserve">                     </w:t>
      </w:r>
      <w:r>
        <w:rPr>
          <w:rFonts w:ascii="宋体" w:hAnsi="宋体"/>
        </w:rPr>
        <w:t>E、补偿性支出</w:t>
      </w:r>
    </w:p>
    <w:p>
      <w:pPr>
        <w:tabs>
          <w:tab w:val="left" w:pos="4253"/>
        </w:tabs>
        <w:snapToGrid w:val="0"/>
        <w:rPr>
          <w:rFonts w:ascii="宋体" w:hAnsi="宋体"/>
        </w:rPr>
      </w:pPr>
      <w:r>
        <w:rPr>
          <w:rFonts w:ascii="宋体" w:hAnsi="宋体"/>
        </w:rPr>
        <w:t>30、企业成本报表的比率分析法包括</w:t>
      </w:r>
      <w:r>
        <w:rPr>
          <w:rFonts w:hint="eastAsia" w:ascii="宋体" w:hAnsi="宋体"/>
          <w:lang w:eastAsia="zh-CN"/>
        </w:rPr>
        <w:t>（</w:t>
      </w:r>
      <w:r>
        <w:rPr>
          <w:rFonts w:hint="eastAsia" w:ascii="宋体" w:hAnsi="宋体"/>
          <w:lang w:val="en-US" w:eastAsia="zh-CN"/>
        </w:rPr>
        <w:t xml:space="preserve">        </w:t>
      </w:r>
      <w:r>
        <w:rPr>
          <w:rFonts w:hint="eastAsia" w:ascii="宋体" w:hAnsi="宋体"/>
          <w:lang w:eastAsia="zh-CN"/>
        </w:rPr>
        <w:t>）。</w:t>
      </w:r>
    </w:p>
    <w:p>
      <w:pPr>
        <w:tabs>
          <w:tab w:val="left" w:pos="4253"/>
        </w:tabs>
        <w:snapToGrid w:val="0"/>
        <w:rPr>
          <w:rFonts w:hint="eastAsia" w:ascii="宋体" w:hAnsi="宋体"/>
          <w:lang w:val="en-US" w:eastAsia="zh-CN"/>
        </w:rPr>
      </w:pPr>
      <w:r>
        <w:rPr>
          <w:rFonts w:ascii="宋体" w:hAnsi="宋体"/>
        </w:rPr>
        <w:t>A、相关指标比率分析</w:t>
      </w:r>
      <w:r>
        <w:rPr>
          <w:rFonts w:hint="eastAsia" w:ascii="宋体" w:hAnsi="宋体"/>
          <w:lang w:val="en-US" w:eastAsia="zh-CN"/>
        </w:rPr>
        <w:t xml:space="preserve">                   </w:t>
      </w:r>
      <w:r>
        <w:rPr>
          <w:rFonts w:ascii="宋体" w:hAnsi="宋体"/>
        </w:rPr>
        <w:t>B、构成比率分析</w:t>
      </w:r>
      <w:r>
        <w:rPr>
          <w:rFonts w:hint="eastAsia" w:ascii="宋体" w:hAnsi="宋体"/>
          <w:lang w:val="en-US" w:eastAsia="zh-CN"/>
        </w:rPr>
        <w:t xml:space="preserve">               </w:t>
      </w:r>
    </w:p>
    <w:p>
      <w:pPr>
        <w:tabs>
          <w:tab w:val="left" w:pos="4253"/>
        </w:tabs>
        <w:snapToGrid w:val="0"/>
        <w:rPr>
          <w:rFonts w:ascii="宋体" w:hAnsi="宋体"/>
        </w:rPr>
      </w:pPr>
      <w:r>
        <w:rPr>
          <w:rFonts w:ascii="宋体" w:hAnsi="宋体"/>
        </w:rPr>
        <w:t>C、影响因素分析</w:t>
      </w:r>
      <w:r>
        <w:rPr>
          <w:rFonts w:hint="eastAsia" w:ascii="宋体" w:hAnsi="宋体"/>
          <w:lang w:val="en-US" w:eastAsia="zh-CN"/>
        </w:rPr>
        <w:t xml:space="preserve">                       </w:t>
      </w:r>
      <w:r>
        <w:rPr>
          <w:rFonts w:ascii="宋体" w:hAnsi="宋体"/>
        </w:rPr>
        <w:t>D、动态比率分析</w:t>
      </w:r>
      <w:r>
        <w:rPr>
          <w:rFonts w:hint="eastAsia" w:ascii="宋体" w:hAnsi="宋体"/>
          <w:lang w:val="en-US" w:eastAsia="zh-CN"/>
        </w:rPr>
        <w:t xml:space="preserve">                   </w:t>
      </w:r>
      <w:r>
        <w:rPr>
          <w:rFonts w:ascii="宋体" w:hAnsi="宋体"/>
        </w:rPr>
        <w:t>E、连环替代分析</w:t>
      </w:r>
    </w:p>
    <w:p>
      <w:pPr>
        <w:tabs>
          <w:tab w:val="left" w:pos="4253"/>
        </w:tabs>
        <w:snapToGrid w:val="0"/>
        <w:rPr>
          <w:rFonts w:ascii="宋体" w:hAnsi="宋体"/>
        </w:rPr>
      </w:pPr>
    </w:p>
    <w:p>
      <w:pPr>
        <w:tabs>
          <w:tab w:val="left" w:pos="4253"/>
        </w:tabs>
        <w:snapToGrid w:val="0"/>
        <w:rPr>
          <w:rFonts w:ascii="宋体" w:hAnsi="宋体"/>
          <w:b/>
        </w:rPr>
      </w:pPr>
      <w:r>
        <w:rPr>
          <w:rFonts w:ascii="宋体" w:hAnsi="宋体"/>
          <w:b/>
        </w:rPr>
        <w:t>三、判断说明题</w:t>
      </w:r>
    </w:p>
    <w:p>
      <w:pPr>
        <w:tabs>
          <w:tab w:val="left" w:pos="4253"/>
        </w:tabs>
        <w:snapToGrid w:val="0"/>
        <w:ind w:firstLine="420"/>
        <w:rPr>
          <w:rFonts w:ascii="宋体" w:hAnsi="宋体"/>
          <w:b/>
        </w:rPr>
      </w:pPr>
      <w:r>
        <w:rPr>
          <w:rFonts w:ascii="宋体" w:hAnsi="宋体"/>
          <w:b/>
        </w:rPr>
        <w:t>判断下列各题正误，正者打“√”，误者打“×”并说明理由。</w:t>
      </w:r>
    </w:p>
    <w:p>
      <w:pPr>
        <w:tabs>
          <w:tab w:val="left" w:pos="4253"/>
        </w:tabs>
        <w:snapToGrid w:val="0"/>
        <w:rPr>
          <w:rFonts w:hint="eastAsia" w:ascii="宋体" w:hAnsi="宋体"/>
        </w:rPr>
      </w:pPr>
      <w:r>
        <w:rPr>
          <w:rFonts w:ascii="宋体" w:hAnsi="宋体"/>
        </w:rPr>
        <w:t>31、对于货币性职工薪酬，企业可以根据历史经验数据和自身实际情况，计算确定应付职工薪酬金额和应计入成本费用的薪酬金额。</w:t>
      </w:r>
    </w:p>
    <w:p>
      <w:pPr>
        <w:tabs>
          <w:tab w:val="left" w:pos="4253"/>
        </w:tabs>
        <w:snapToGrid w:val="0"/>
        <w:rPr>
          <w:rFonts w:hint="eastAsia" w:ascii="宋体" w:hAnsi="宋体"/>
        </w:rPr>
      </w:pPr>
    </w:p>
    <w:p>
      <w:pPr>
        <w:tabs>
          <w:tab w:val="left" w:pos="4253"/>
        </w:tabs>
        <w:snapToGrid w:val="0"/>
        <w:rPr>
          <w:rFonts w:ascii="宋体" w:hAnsi="宋体"/>
        </w:rPr>
      </w:pPr>
    </w:p>
    <w:p>
      <w:pPr>
        <w:tabs>
          <w:tab w:val="left" w:pos="4253"/>
        </w:tabs>
        <w:snapToGrid w:val="0"/>
        <w:rPr>
          <w:rFonts w:hint="eastAsia" w:ascii="宋体" w:hAnsi="宋体"/>
        </w:rPr>
      </w:pPr>
      <w:r>
        <w:rPr>
          <w:rFonts w:ascii="宋体" w:hAnsi="宋体"/>
        </w:rPr>
        <w:t>32、企业的非货币性福利，和货币性的薪酬不一样，不需要通过“应付职工薪酬”科目进行核算。</w:t>
      </w:r>
    </w:p>
    <w:p>
      <w:pPr>
        <w:tabs>
          <w:tab w:val="left" w:pos="4253"/>
        </w:tabs>
        <w:snapToGrid w:val="0"/>
        <w:rPr>
          <w:rFonts w:ascii="宋体" w:hAnsi="宋体"/>
        </w:rPr>
      </w:pPr>
    </w:p>
    <w:p>
      <w:pPr>
        <w:tabs>
          <w:tab w:val="left" w:pos="4253"/>
        </w:tabs>
        <w:snapToGrid w:val="0"/>
        <w:rPr>
          <w:rFonts w:hint="eastAsia" w:ascii="宋体" w:hAnsi="宋体"/>
        </w:rPr>
      </w:pPr>
      <w:r>
        <w:rPr>
          <w:rFonts w:ascii="宋体" w:hAnsi="宋体"/>
        </w:rPr>
        <w:t>33、根据责任单位是否可以有效控制，生产费用可以分为固定成本和变动成本。</w:t>
      </w:r>
    </w:p>
    <w:p>
      <w:pPr>
        <w:tabs>
          <w:tab w:val="left" w:pos="4253"/>
        </w:tabs>
        <w:snapToGrid w:val="0"/>
        <w:rPr>
          <w:rFonts w:hint="eastAsia" w:ascii="宋体" w:hAnsi="宋体"/>
        </w:rPr>
      </w:pPr>
    </w:p>
    <w:p>
      <w:pPr>
        <w:tabs>
          <w:tab w:val="left" w:pos="4253"/>
        </w:tabs>
        <w:snapToGrid w:val="0"/>
        <w:rPr>
          <w:rFonts w:hint="eastAsia" w:ascii="宋体" w:hAnsi="宋体"/>
        </w:rPr>
      </w:pPr>
    </w:p>
    <w:p>
      <w:pPr>
        <w:tabs>
          <w:tab w:val="left" w:pos="4253"/>
        </w:tabs>
        <w:snapToGrid w:val="0"/>
        <w:rPr>
          <w:rFonts w:hint="eastAsia" w:ascii="宋体" w:hAnsi="宋体"/>
        </w:rPr>
      </w:pPr>
      <w:r>
        <w:rPr>
          <w:rFonts w:ascii="宋体" w:hAnsi="宋体"/>
        </w:rPr>
        <w:t>34、不可修复废品是指在技术上不能修复，而且虽然可以修复但所耗修复费用在经济上不合算的废品。两个条件要同时具备。</w:t>
      </w:r>
    </w:p>
    <w:p>
      <w:pPr>
        <w:tabs>
          <w:tab w:val="left" w:pos="4253"/>
        </w:tabs>
        <w:snapToGrid w:val="0"/>
        <w:rPr>
          <w:rFonts w:hint="eastAsia" w:ascii="宋体" w:hAnsi="宋体"/>
        </w:rPr>
      </w:pPr>
    </w:p>
    <w:p>
      <w:pPr>
        <w:tabs>
          <w:tab w:val="left" w:pos="4253"/>
        </w:tabs>
        <w:snapToGrid w:val="0"/>
        <w:rPr>
          <w:rFonts w:ascii="宋体" w:hAnsi="宋体"/>
        </w:rPr>
      </w:pPr>
    </w:p>
    <w:p>
      <w:pPr>
        <w:tabs>
          <w:tab w:val="left" w:pos="4253"/>
        </w:tabs>
        <w:snapToGrid w:val="0"/>
        <w:rPr>
          <w:rFonts w:ascii="宋体" w:hAnsi="宋体"/>
        </w:rPr>
      </w:pPr>
      <w:r>
        <w:rPr>
          <w:rFonts w:ascii="宋体" w:hAnsi="宋体"/>
        </w:rPr>
        <w:t>35、根据责任中心的权限范围及业务活动的特点，责任中心可以分为成本中心、利润中心和投资中心。</w:t>
      </w:r>
    </w:p>
    <w:p>
      <w:pPr>
        <w:tabs>
          <w:tab w:val="left" w:pos="4253"/>
        </w:tabs>
        <w:snapToGrid w:val="0"/>
        <w:rPr>
          <w:rFonts w:hint="eastAsia" w:ascii="宋体" w:hAnsi="宋体"/>
          <w:b/>
        </w:rPr>
      </w:pPr>
    </w:p>
    <w:p>
      <w:pPr>
        <w:tabs>
          <w:tab w:val="left" w:pos="4253"/>
        </w:tabs>
        <w:snapToGrid w:val="0"/>
        <w:rPr>
          <w:rFonts w:hint="eastAsia" w:ascii="宋体" w:hAnsi="宋体"/>
          <w:b/>
        </w:rPr>
      </w:pPr>
    </w:p>
    <w:p>
      <w:pPr>
        <w:numPr>
          <w:ilvl w:val="0"/>
          <w:numId w:val="1"/>
        </w:numPr>
        <w:tabs>
          <w:tab w:val="left" w:pos="4253"/>
        </w:tabs>
        <w:snapToGrid w:val="0"/>
        <w:rPr>
          <w:rFonts w:ascii="宋体" w:hAnsi="宋体"/>
          <w:b/>
        </w:rPr>
      </w:pPr>
      <w:r>
        <w:rPr>
          <w:rFonts w:ascii="宋体" w:hAnsi="宋体"/>
          <w:b/>
        </w:rPr>
        <w:t>简答题</w:t>
      </w:r>
    </w:p>
    <w:p>
      <w:pPr>
        <w:numPr>
          <w:ilvl w:val="0"/>
          <w:numId w:val="0"/>
        </w:numPr>
        <w:tabs>
          <w:tab w:val="left" w:pos="4253"/>
        </w:tabs>
        <w:snapToGrid w:val="0"/>
        <w:rPr>
          <w:rFonts w:hint="eastAsia" w:ascii="宋体" w:hAnsi="宋体"/>
        </w:rPr>
      </w:pPr>
      <w:r>
        <w:rPr>
          <w:rFonts w:ascii="宋体" w:hAnsi="宋体"/>
        </w:rPr>
        <w:t>36、为了正确进行成本费用的归集和分配，需要分清哪些费用的界限？</w:t>
      </w:r>
    </w:p>
    <w:p>
      <w:pPr>
        <w:tabs>
          <w:tab w:val="left" w:pos="4253"/>
        </w:tabs>
        <w:snapToGrid w:val="0"/>
        <w:rPr>
          <w:rFonts w:hint="eastAsia" w:ascii="宋体" w:hAnsi="宋体"/>
        </w:rPr>
      </w:pPr>
    </w:p>
    <w:p>
      <w:pPr>
        <w:tabs>
          <w:tab w:val="left" w:pos="4253"/>
        </w:tabs>
        <w:snapToGrid w:val="0"/>
        <w:rPr>
          <w:rFonts w:hint="eastAsia" w:ascii="宋体" w:hAnsi="宋体"/>
        </w:rPr>
      </w:pPr>
    </w:p>
    <w:p>
      <w:pPr>
        <w:tabs>
          <w:tab w:val="left" w:pos="4253"/>
        </w:tabs>
        <w:snapToGrid w:val="0"/>
        <w:rPr>
          <w:rFonts w:hint="eastAsia" w:ascii="宋体" w:hAnsi="宋体"/>
        </w:rPr>
      </w:pPr>
    </w:p>
    <w:p>
      <w:pPr>
        <w:tabs>
          <w:tab w:val="left" w:pos="4253"/>
        </w:tabs>
        <w:snapToGrid w:val="0"/>
        <w:rPr>
          <w:rFonts w:ascii="宋体" w:hAnsi="宋体"/>
        </w:rPr>
      </w:pPr>
    </w:p>
    <w:p>
      <w:pPr>
        <w:tabs>
          <w:tab w:val="left" w:pos="4253"/>
        </w:tabs>
        <w:snapToGrid w:val="0"/>
        <w:rPr>
          <w:rFonts w:hint="eastAsia" w:ascii="宋体" w:hAnsi="宋体"/>
        </w:rPr>
      </w:pPr>
      <w:r>
        <w:rPr>
          <w:rFonts w:ascii="宋体" w:hAnsi="宋体"/>
        </w:rPr>
        <w:t>37、简述职工薪酬的内容及其计入产品成本的程序和方式。</w:t>
      </w:r>
    </w:p>
    <w:p>
      <w:pPr>
        <w:tabs>
          <w:tab w:val="left" w:pos="4253"/>
        </w:tabs>
        <w:snapToGrid w:val="0"/>
        <w:rPr>
          <w:rFonts w:hint="eastAsia" w:ascii="宋体" w:hAnsi="宋体"/>
        </w:rPr>
      </w:pPr>
    </w:p>
    <w:p>
      <w:pPr>
        <w:tabs>
          <w:tab w:val="left" w:pos="4253"/>
        </w:tabs>
        <w:snapToGrid w:val="0"/>
        <w:rPr>
          <w:rFonts w:hint="eastAsia" w:ascii="宋体" w:hAnsi="宋体"/>
        </w:rPr>
      </w:pPr>
    </w:p>
    <w:p>
      <w:pPr>
        <w:tabs>
          <w:tab w:val="left" w:pos="4253"/>
        </w:tabs>
        <w:snapToGrid w:val="0"/>
        <w:rPr>
          <w:rFonts w:ascii="宋体" w:hAnsi="宋体"/>
        </w:rPr>
      </w:pPr>
    </w:p>
    <w:p>
      <w:pPr>
        <w:tabs>
          <w:tab w:val="left" w:pos="4253"/>
        </w:tabs>
        <w:snapToGrid w:val="0"/>
        <w:rPr>
          <w:rFonts w:hint="eastAsia" w:ascii="宋体" w:hAnsi="宋体"/>
        </w:rPr>
      </w:pPr>
    </w:p>
    <w:p>
      <w:pPr>
        <w:tabs>
          <w:tab w:val="left" w:pos="4253"/>
        </w:tabs>
        <w:snapToGrid w:val="0"/>
        <w:ind w:left="422" w:hanging="422" w:hangingChars="200"/>
        <w:rPr>
          <w:rFonts w:ascii="宋体" w:hAnsi="宋体"/>
          <w:b/>
        </w:rPr>
      </w:pPr>
      <w:r>
        <w:rPr>
          <w:rFonts w:ascii="宋体" w:hAnsi="宋体"/>
          <w:b/>
        </w:rPr>
        <w:t>五、计算题</w:t>
      </w:r>
    </w:p>
    <w:p>
      <w:pPr>
        <w:tabs>
          <w:tab w:val="left" w:pos="4253"/>
        </w:tabs>
        <w:snapToGrid w:val="0"/>
        <w:ind w:left="420" w:hanging="420" w:hangingChars="200"/>
        <w:rPr>
          <w:rFonts w:ascii="宋体" w:hAnsi="宋体"/>
        </w:rPr>
      </w:pPr>
      <w:r>
        <w:rPr>
          <w:rFonts w:ascii="宋体" w:hAnsi="宋体"/>
        </w:rPr>
        <w:t>38、某企业丙产品顺序通过第一、二道工序加工制成。原材料在每道工序开始时一次性投入，原材料消耗定额500公斤，其中，第一道工序的原材料消耗定额为350公斤，第二道工序为150公斤。第一道工序的定额工时为12小时；第二道工序的定额工时为8小时。每个工序结存在产品在本工序加工程度均为50％。本月该产品结存在产品200件，其中第一道工序结存120件，第二道工序结存80件。</w:t>
      </w:r>
    </w:p>
    <w:p>
      <w:pPr>
        <w:tabs>
          <w:tab w:val="left" w:pos="4253"/>
        </w:tabs>
        <w:snapToGrid w:val="0"/>
        <w:ind w:left="422" w:leftChars="201"/>
        <w:rPr>
          <w:rFonts w:ascii="宋体" w:hAnsi="宋体"/>
        </w:rPr>
      </w:pPr>
      <w:r>
        <w:rPr>
          <w:rFonts w:ascii="宋体" w:hAnsi="宋体"/>
        </w:rPr>
        <w:t>要求：(1)计算各工序的投料程度和月末在产品约当产量；</w:t>
      </w:r>
    </w:p>
    <w:p>
      <w:pPr>
        <w:tabs>
          <w:tab w:val="left" w:pos="4253"/>
        </w:tabs>
        <w:snapToGrid w:val="0"/>
        <w:ind w:left="422" w:leftChars="201" w:firstLine="630" w:firstLineChars="300"/>
        <w:rPr>
          <w:rFonts w:hint="eastAsia" w:ascii="宋体" w:hAnsi="宋体"/>
        </w:rPr>
      </w:pPr>
      <w:r>
        <w:rPr>
          <w:rFonts w:ascii="宋体" w:hAnsi="宋体"/>
        </w:rPr>
        <w:t>(2)分工序计算月末在产品的完工程度和约当产量。</w:t>
      </w:r>
    </w:p>
    <w:p>
      <w:pPr>
        <w:tabs>
          <w:tab w:val="left" w:pos="4253"/>
        </w:tabs>
        <w:snapToGrid w:val="0"/>
        <w:ind w:left="422" w:leftChars="201" w:firstLine="630" w:firstLineChars="300"/>
        <w:rPr>
          <w:rFonts w:hint="eastAsia" w:ascii="宋体" w:hAnsi="宋体"/>
        </w:rPr>
      </w:pPr>
    </w:p>
    <w:p>
      <w:pPr>
        <w:tabs>
          <w:tab w:val="left" w:pos="4253"/>
        </w:tabs>
        <w:snapToGrid w:val="0"/>
        <w:ind w:left="422" w:leftChars="201" w:firstLine="630" w:firstLineChars="300"/>
        <w:rPr>
          <w:rFonts w:hint="eastAsia" w:ascii="宋体" w:hAnsi="宋体"/>
        </w:rPr>
      </w:pPr>
    </w:p>
    <w:p>
      <w:pPr>
        <w:tabs>
          <w:tab w:val="left" w:pos="4253"/>
        </w:tabs>
        <w:snapToGrid w:val="0"/>
        <w:ind w:left="422" w:leftChars="201" w:firstLine="630" w:firstLineChars="300"/>
        <w:rPr>
          <w:rFonts w:hint="eastAsia" w:ascii="宋体" w:hAnsi="宋体"/>
        </w:rPr>
      </w:pPr>
    </w:p>
    <w:p>
      <w:pPr>
        <w:tabs>
          <w:tab w:val="left" w:pos="4253"/>
        </w:tabs>
        <w:snapToGrid w:val="0"/>
        <w:rPr>
          <w:rFonts w:ascii="宋体" w:hAnsi="宋体"/>
        </w:rPr>
      </w:pPr>
    </w:p>
    <w:p>
      <w:pPr>
        <w:tabs>
          <w:tab w:val="left" w:pos="4253"/>
        </w:tabs>
        <w:snapToGrid w:val="0"/>
        <w:ind w:left="462" w:leftChars="20" w:hanging="420" w:hangingChars="200"/>
        <w:rPr>
          <w:rFonts w:ascii="宋体" w:hAnsi="宋体"/>
        </w:rPr>
      </w:pPr>
      <w:r>
        <w:rPr>
          <w:rFonts w:ascii="宋体" w:hAnsi="宋体"/>
        </w:rPr>
        <w:t>39、华丰企业的甲产品从2010年1月起采用新的材料消耗定额，其旧的材料费用定额为100元／件，新的材料费用定额为85元／件，本月初旧的材料费用定额为10000元。</w:t>
      </w:r>
    </w:p>
    <w:p>
      <w:pPr>
        <w:tabs>
          <w:tab w:val="left" w:pos="4253"/>
        </w:tabs>
        <w:snapToGrid w:val="0"/>
        <w:ind w:left="424" w:leftChars="202"/>
        <w:rPr>
          <w:rFonts w:hint="eastAsia" w:ascii="宋体" w:hAnsi="宋体"/>
        </w:rPr>
      </w:pPr>
      <w:r>
        <w:rPr>
          <w:rFonts w:ascii="宋体" w:hAnsi="宋体"/>
        </w:rPr>
        <w:t>要求：计算定额变动差异及月初在产品材料成本。（需列出具体计算过程）</w:t>
      </w:r>
    </w:p>
    <w:p>
      <w:pPr>
        <w:tabs>
          <w:tab w:val="left" w:pos="4253"/>
        </w:tabs>
        <w:snapToGrid w:val="0"/>
        <w:ind w:left="424" w:leftChars="202"/>
        <w:rPr>
          <w:rFonts w:hint="eastAsia" w:ascii="宋体" w:hAnsi="宋体"/>
        </w:rPr>
      </w:pPr>
    </w:p>
    <w:p>
      <w:pPr>
        <w:tabs>
          <w:tab w:val="left" w:pos="4253"/>
        </w:tabs>
        <w:snapToGrid w:val="0"/>
        <w:ind w:left="424" w:leftChars="202"/>
        <w:rPr>
          <w:rFonts w:hint="eastAsia" w:ascii="宋体" w:hAnsi="宋体"/>
        </w:rPr>
      </w:pPr>
    </w:p>
    <w:p>
      <w:pPr>
        <w:tabs>
          <w:tab w:val="left" w:pos="4253"/>
        </w:tabs>
        <w:snapToGrid w:val="0"/>
        <w:ind w:left="424" w:leftChars="202"/>
        <w:rPr>
          <w:rFonts w:hint="eastAsia" w:ascii="宋体" w:hAnsi="宋体"/>
        </w:rPr>
      </w:pPr>
    </w:p>
    <w:p>
      <w:pPr>
        <w:tabs>
          <w:tab w:val="left" w:pos="4253"/>
        </w:tabs>
        <w:snapToGrid w:val="0"/>
        <w:ind w:left="424" w:leftChars="202"/>
        <w:rPr>
          <w:rFonts w:hint="eastAsia" w:ascii="宋体" w:hAnsi="宋体"/>
        </w:rPr>
      </w:pPr>
    </w:p>
    <w:p>
      <w:pPr>
        <w:tabs>
          <w:tab w:val="left" w:pos="4253"/>
        </w:tabs>
        <w:snapToGrid w:val="0"/>
        <w:ind w:left="424" w:leftChars="202"/>
        <w:rPr>
          <w:rFonts w:ascii="宋体" w:hAnsi="宋体"/>
        </w:rPr>
      </w:pPr>
    </w:p>
    <w:p>
      <w:pPr>
        <w:tabs>
          <w:tab w:val="left" w:pos="4253"/>
        </w:tabs>
        <w:snapToGrid w:val="0"/>
        <w:ind w:left="420" w:hanging="420" w:hangingChars="200"/>
        <w:rPr>
          <w:rFonts w:ascii="宋体" w:hAnsi="宋体"/>
        </w:rPr>
      </w:pPr>
      <w:r>
        <w:rPr>
          <w:rFonts w:ascii="宋体" w:hAnsi="宋体"/>
        </w:rPr>
        <w:t>40、假定某企业生产A、B、C三种不同规格的产品，根据原材料耗用及工艺特点，将A、B</w:t>
      </w:r>
      <w:r>
        <w:rPr>
          <w:rFonts w:hint="eastAsia" w:ascii="宋体" w:hAnsi="宋体"/>
        </w:rPr>
        <w:t>、</w:t>
      </w:r>
      <w:r>
        <w:rPr>
          <w:rFonts w:ascii="宋体" w:hAnsi="宋体"/>
        </w:rPr>
        <w:t>C三种产品分为一类，称之为甲类；该企业设直接材料、直接人工、制造费用三个成本项目。成本计算采用分类法，类内产品成本采用系数法进行计算，以B产品作为标准产品，甲类以定额成本为分配标准，B产品的定额成本系数为1，A产品定额成本折算系数为2，C产品定额成本折算系数为3</w:t>
      </w:r>
      <w:r>
        <w:rPr>
          <w:rFonts w:hint="eastAsia" w:ascii="宋体" w:hAnsi="宋体"/>
        </w:rPr>
        <w:t>。</w:t>
      </w:r>
      <w:r>
        <w:rPr>
          <w:rFonts w:ascii="宋体" w:hAnsi="宋体"/>
        </w:rPr>
        <w:t>该企业2010年4月份有关产品成本计算的资料如下：</w:t>
      </w:r>
    </w:p>
    <w:p>
      <w:pPr>
        <w:tabs>
          <w:tab w:val="left" w:pos="4253"/>
        </w:tabs>
        <w:snapToGrid w:val="0"/>
        <w:jc w:val="center"/>
        <w:rPr>
          <w:rFonts w:ascii="宋体" w:hAnsi="宋体"/>
        </w:rPr>
      </w:pPr>
      <w:r>
        <w:rPr>
          <w:rFonts w:ascii="宋体" w:hAnsi="宋体"/>
        </w:rPr>
        <w:t>本月产成品数量</w:t>
      </w:r>
    </w:p>
    <w:tbl>
      <w:tblPr>
        <w:tblStyle w:val="4"/>
        <w:tblW w:w="0" w:type="auto"/>
        <w:tblInd w:w="15" w:type="dxa"/>
        <w:tblLayout w:type="fixed"/>
        <w:tblCellMar>
          <w:top w:w="0" w:type="dxa"/>
          <w:left w:w="0" w:type="dxa"/>
          <w:bottom w:w="0" w:type="dxa"/>
          <w:right w:w="0" w:type="dxa"/>
        </w:tblCellMar>
      </w:tblPr>
      <w:tblGrid>
        <w:gridCol w:w="1418"/>
        <w:gridCol w:w="1618"/>
        <w:gridCol w:w="1790"/>
        <w:gridCol w:w="1574"/>
        <w:gridCol w:w="2129"/>
      </w:tblGrid>
      <w:tr>
        <w:tblPrEx>
          <w:tblCellMar>
            <w:top w:w="0" w:type="dxa"/>
            <w:left w:w="0" w:type="dxa"/>
            <w:bottom w:w="0" w:type="dxa"/>
            <w:right w:w="0" w:type="dxa"/>
          </w:tblCellMar>
        </w:tblPrEx>
        <w:trPr>
          <w:trHeight w:val="352" w:hRule="atLeast"/>
        </w:trPr>
        <w:tc>
          <w:tcPr>
            <w:tcW w:w="1418" w:type="dxa"/>
            <w:tcBorders>
              <w:top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类别</w:t>
            </w:r>
          </w:p>
        </w:tc>
        <w:tc>
          <w:tcPr>
            <w:tcW w:w="1618"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品种</w:t>
            </w:r>
          </w:p>
        </w:tc>
        <w:tc>
          <w:tcPr>
            <w:tcW w:w="1790"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实际产量</w:t>
            </w:r>
          </w:p>
        </w:tc>
        <w:tc>
          <w:tcPr>
            <w:tcW w:w="1574"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系数</w:t>
            </w:r>
          </w:p>
        </w:tc>
        <w:tc>
          <w:tcPr>
            <w:tcW w:w="2129" w:type="dxa"/>
            <w:tcBorders>
              <w:top w:val="single" w:color="auto" w:sz="6" w:space="0"/>
              <w:left w:val="single" w:color="auto" w:sz="4" w:space="0"/>
              <w:bottom w:val="single" w:color="auto" w:sz="8" w:space="0"/>
            </w:tcBorders>
            <w:noWrap w:val="0"/>
            <w:vAlign w:val="center"/>
          </w:tcPr>
          <w:p>
            <w:pPr>
              <w:autoSpaceDE w:val="0"/>
              <w:autoSpaceDN w:val="0"/>
              <w:jc w:val="center"/>
              <w:rPr>
                <w:rFonts w:ascii="宋体" w:hAnsi="宋体"/>
                <w:color w:val="000000"/>
                <w:kern w:val="0"/>
              </w:rPr>
            </w:pPr>
            <w:r>
              <w:rPr>
                <w:rFonts w:ascii="宋体" w:hAnsi="宋体"/>
                <w:color w:val="000000"/>
                <w:kern w:val="0"/>
              </w:rPr>
              <w:t>标准量</w:t>
            </w:r>
          </w:p>
        </w:tc>
      </w:tr>
      <w:tr>
        <w:tblPrEx>
          <w:tblCellMar>
            <w:top w:w="0" w:type="dxa"/>
            <w:left w:w="0" w:type="dxa"/>
            <w:bottom w:w="0" w:type="dxa"/>
            <w:right w:w="0" w:type="dxa"/>
          </w:tblCellMar>
        </w:tblPrEx>
        <w:trPr>
          <w:trHeight w:val="364" w:hRule="atLeast"/>
        </w:trPr>
        <w:tc>
          <w:tcPr>
            <w:tcW w:w="1418" w:type="dxa"/>
            <w:tcBorders>
              <w:top w:val="single" w:color="auto" w:sz="4" w:space="0"/>
              <w:bottom w:val="nil"/>
              <w:right w:val="single" w:color="auto" w:sz="4" w:space="0"/>
            </w:tcBorders>
            <w:noWrap w:val="0"/>
            <w:vAlign w:val="center"/>
          </w:tcPr>
          <w:p>
            <w:pPr>
              <w:autoSpaceDE w:val="0"/>
              <w:autoSpaceDN w:val="0"/>
              <w:jc w:val="center"/>
              <w:rPr>
                <w:rFonts w:ascii="宋体" w:hAnsi="宋体"/>
                <w:kern w:val="0"/>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A</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w:t>
            </w:r>
          </w:p>
        </w:tc>
        <w:tc>
          <w:tcPr>
            <w:tcW w:w="2129"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369" w:hRule="atLeast"/>
        </w:trPr>
        <w:tc>
          <w:tcPr>
            <w:tcW w:w="1418" w:type="dxa"/>
            <w:vMerge w:val="restart"/>
            <w:tcBorders>
              <w:top w:val="nil"/>
              <w:bottom w:val="nil"/>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甲</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B</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10000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w:t>
            </w:r>
          </w:p>
        </w:tc>
        <w:tc>
          <w:tcPr>
            <w:tcW w:w="2129"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379" w:hRule="atLeast"/>
        </w:trPr>
        <w:tc>
          <w:tcPr>
            <w:tcW w:w="1418" w:type="dxa"/>
            <w:vMerge w:val="continue"/>
            <w:tcBorders>
              <w:top w:val="nil"/>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C</w:t>
            </w:r>
          </w:p>
        </w:tc>
        <w:tc>
          <w:tcPr>
            <w:tcW w:w="179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6000</w:t>
            </w:r>
          </w:p>
        </w:tc>
        <w:tc>
          <w:tcPr>
            <w:tcW w:w="1574"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3</w:t>
            </w:r>
          </w:p>
        </w:tc>
        <w:tc>
          <w:tcPr>
            <w:tcW w:w="2129"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374" w:hRule="atLeast"/>
        </w:trPr>
        <w:tc>
          <w:tcPr>
            <w:tcW w:w="1418" w:type="dxa"/>
            <w:tcBorders>
              <w:top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合计</w:t>
            </w:r>
          </w:p>
        </w:tc>
        <w:tc>
          <w:tcPr>
            <w:tcW w:w="1618"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790"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17000</w:t>
            </w:r>
          </w:p>
        </w:tc>
        <w:tc>
          <w:tcPr>
            <w:tcW w:w="1574"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2129" w:type="dxa"/>
            <w:tcBorders>
              <w:top w:val="single" w:color="auto" w:sz="4" w:space="0"/>
              <w:left w:val="single" w:color="auto" w:sz="4" w:space="0"/>
              <w:bottom w:val="single" w:color="auto" w:sz="6" w:space="0"/>
            </w:tcBorders>
            <w:noWrap w:val="0"/>
            <w:vAlign w:val="center"/>
          </w:tcPr>
          <w:p>
            <w:pPr>
              <w:autoSpaceDE w:val="0"/>
              <w:autoSpaceDN w:val="0"/>
              <w:jc w:val="center"/>
              <w:rPr>
                <w:rFonts w:ascii="宋体" w:hAnsi="宋体"/>
                <w:kern w:val="0"/>
              </w:rPr>
            </w:pPr>
          </w:p>
        </w:tc>
      </w:tr>
    </w:tbl>
    <w:p>
      <w:pPr>
        <w:tabs>
          <w:tab w:val="left" w:pos="4253"/>
        </w:tabs>
        <w:snapToGrid w:val="0"/>
        <w:jc w:val="center"/>
        <w:rPr>
          <w:rFonts w:ascii="宋体" w:hAnsi="宋体"/>
        </w:rPr>
      </w:pPr>
      <w:r>
        <w:rPr>
          <w:rFonts w:ascii="宋体" w:hAnsi="宋体"/>
        </w:rPr>
        <w:t>类别产品成</w:t>
      </w:r>
      <w:r>
        <w:rPr>
          <w:rFonts w:hint="eastAsia" w:ascii="宋体" w:hAnsi="宋体"/>
        </w:rPr>
        <w:t>本</w:t>
      </w:r>
      <w:r>
        <w:rPr>
          <w:rFonts w:ascii="宋体" w:hAnsi="宋体"/>
        </w:rPr>
        <w:t>明细账</w:t>
      </w:r>
    </w:p>
    <w:p>
      <w:pPr>
        <w:tabs>
          <w:tab w:val="left" w:pos="4253"/>
        </w:tabs>
        <w:snapToGrid w:val="0"/>
        <w:ind w:firstLine="420" w:firstLineChars="200"/>
        <w:rPr>
          <w:rFonts w:ascii="宋体" w:hAnsi="宋体"/>
        </w:rPr>
      </w:pPr>
      <w:r>
        <w:rPr>
          <w:rFonts w:ascii="宋体" w:hAnsi="宋体"/>
        </w:rPr>
        <w:t xml:space="preserve">类别：甲             2010年4月                               </w:t>
      </w:r>
      <w:r>
        <w:rPr>
          <w:rFonts w:hint="eastAsia" w:ascii="宋体" w:hAnsi="宋体"/>
        </w:rPr>
        <w:t xml:space="preserve"> </w:t>
      </w:r>
      <w:r>
        <w:rPr>
          <w:rFonts w:ascii="宋体" w:hAnsi="宋体"/>
        </w:rPr>
        <w:t xml:space="preserve"> 单位：元</w:t>
      </w:r>
    </w:p>
    <w:tbl>
      <w:tblPr>
        <w:tblStyle w:val="4"/>
        <w:tblW w:w="0" w:type="auto"/>
        <w:tblInd w:w="15" w:type="dxa"/>
        <w:tblLayout w:type="fixed"/>
        <w:tblCellMar>
          <w:top w:w="0" w:type="dxa"/>
          <w:left w:w="0" w:type="dxa"/>
          <w:bottom w:w="0" w:type="dxa"/>
          <w:right w:w="0" w:type="dxa"/>
        </w:tblCellMar>
      </w:tblPr>
      <w:tblGrid>
        <w:gridCol w:w="348"/>
        <w:gridCol w:w="528"/>
        <w:gridCol w:w="1622"/>
        <w:gridCol w:w="1435"/>
        <w:gridCol w:w="1589"/>
        <w:gridCol w:w="1618"/>
        <w:gridCol w:w="1284"/>
      </w:tblGrid>
      <w:tr>
        <w:tblPrEx>
          <w:tblCellMar>
            <w:top w:w="0" w:type="dxa"/>
            <w:left w:w="0" w:type="dxa"/>
            <w:bottom w:w="0" w:type="dxa"/>
            <w:right w:w="0" w:type="dxa"/>
          </w:tblCellMar>
        </w:tblPrEx>
        <w:trPr>
          <w:trHeight w:val="532" w:hRule="atLeast"/>
        </w:trPr>
        <w:tc>
          <w:tcPr>
            <w:tcW w:w="348" w:type="dxa"/>
            <w:tcBorders>
              <w:top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月</w:t>
            </w:r>
          </w:p>
        </w:tc>
        <w:tc>
          <w:tcPr>
            <w:tcW w:w="528"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曰</w:t>
            </w:r>
          </w:p>
        </w:tc>
        <w:tc>
          <w:tcPr>
            <w:tcW w:w="1622"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摘要</w:t>
            </w:r>
          </w:p>
        </w:tc>
        <w:tc>
          <w:tcPr>
            <w:tcW w:w="1435"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直接材料</w:t>
            </w:r>
          </w:p>
        </w:tc>
        <w:tc>
          <w:tcPr>
            <w:tcW w:w="1589"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直接人工</w:t>
            </w:r>
          </w:p>
        </w:tc>
        <w:tc>
          <w:tcPr>
            <w:tcW w:w="1618"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制造费用</w:t>
            </w:r>
          </w:p>
        </w:tc>
        <w:tc>
          <w:tcPr>
            <w:tcW w:w="1284" w:type="dxa"/>
            <w:tcBorders>
              <w:top w:val="single" w:color="auto" w:sz="6" w:space="0"/>
              <w:left w:val="single" w:color="auto" w:sz="4" w:space="0"/>
              <w:bottom w:val="single" w:color="auto" w:sz="8" w:space="0"/>
            </w:tcBorders>
            <w:noWrap w:val="0"/>
            <w:vAlign w:val="center"/>
          </w:tcPr>
          <w:p>
            <w:pPr>
              <w:autoSpaceDE w:val="0"/>
              <w:autoSpaceDN w:val="0"/>
              <w:jc w:val="center"/>
              <w:rPr>
                <w:rFonts w:ascii="宋体" w:hAnsi="宋体"/>
                <w:color w:val="000000"/>
                <w:kern w:val="0"/>
              </w:rPr>
            </w:pPr>
            <w:r>
              <w:rPr>
                <w:rFonts w:ascii="宋体" w:hAnsi="宋体"/>
                <w:color w:val="000000"/>
                <w:kern w:val="0"/>
              </w:rPr>
              <w:t>合计</w:t>
            </w:r>
          </w:p>
        </w:tc>
      </w:tr>
      <w:tr>
        <w:tblPrEx>
          <w:tblCellMar>
            <w:top w:w="0" w:type="dxa"/>
            <w:left w:w="0" w:type="dxa"/>
            <w:bottom w:w="0" w:type="dxa"/>
            <w:right w:w="0" w:type="dxa"/>
          </w:tblCellMar>
        </w:tblPrEx>
        <w:trPr>
          <w:trHeight w:val="393" w:hRule="atLeast"/>
        </w:trPr>
        <w:tc>
          <w:tcPr>
            <w:tcW w:w="348"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6</w:t>
            </w:r>
          </w:p>
        </w:tc>
        <w:tc>
          <w:tcPr>
            <w:tcW w:w="5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30</w:t>
            </w:r>
          </w:p>
        </w:tc>
        <w:tc>
          <w:tcPr>
            <w:tcW w:w="1622"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月初在产品成本</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20000</w:t>
            </w:r>
          </w:p>
        </w:tc>
        <w:tc>
          <w:tcPr>
            <w:tcW w:w="158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2900</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4200</w:t>
            </w:r>
          </w:p>
        </w:tc>
        <w:tc>
          <w:tcPr>
            <w:tcW w:w="1284"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376" w:hRule="atLeast"/>
        </w:trPr>
        <w:tc>
          <w:tcPr>
            <w:tcW w:w="348"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略</w:t>
            </w:r>
          </w:p>
        </w:tc>
        <w:tc>
          <w:tcPr>
            <w:tcW w:w="5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本月生产耗费</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171000</w:t>
            </w:r>
          </w:p>
        </w:tc>
        <w:tc>
          <w:tcPr>
            <w:tcW w:w="158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16800</w:t>
            </w: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11000</w:t>
            </w:r>
          </w:p>
        </w:tc>
        <w:tc>
          <w:tcPr>
            <w:tcW w:w="1284"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631" w:hRule="atLeast"/>
        </w:trPr>
        <w:tc>
          <w:tcPr>
            <w:tcW w:w="348" w:type="dxa"/>
            <w:tcBorders>
              <w:top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5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color w:val="000000"/>
                <w:kern w:val="0"/>
              </w:rPr>
            </w:pPr>
            <w:r>
              <w:rPr>
                <w:rFonts w:ascii="宋体" w:hAnsi="宋体"/>
                <w:color w:val="000000"/>
                <w:kern w:val="0"/>
              </w:rPr>
              <w:t>生产费用合计</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158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1284" w:type="dxa"/>
            <w:tcBorders>
              <w:top w:val="single" w:color="auto" w:sz="4" w:space="0"/>
              <w:left w:val="single" w:color="auto" w:sz="4" w:space="0"/>
              <w:bottom w:val="single" w:color="auto" w:sz="8" w:space="0"/>
            </w:tcBorders>
            <w:noWrap w:val="0"/>
            <w:vAlign w:val="center"/>
          </w:tcPr>
          <w:p>
            <w:pPr>
              <w:autoSpaceDE w:val="0"/>
              <w:autoSpaceDN w:val="0"/>
              <w:spacing w:line="300" w:lineRule="atLeast"/>
              <w:jc w:val="center"/>
              <w:rPr>
                <w:rFonts w:ascii="宋体" w:hAnsi="宋体"/>
                <w:kern w:val="0"/>
              </w:rPr>
            </w:pPr>
          </w:p>
        </w:tc>
      </w:tr>
      <w:tr>
        <w:tblPrEx>
          <w:tblCellMar>
            <w:top w:w="0" w:type="dxa"/>
            <w:left w:w="0" w:type="dxa"/>
            <w:bottom w:w="0" w:type="dxa"/>
            <w:right w:w="0" w:type="dxa"/>
          </w:tblCellMar>
        </w:tblPrEx>
        <w:trPr>
          <w:trHeight w:val="657" w:hRule="atLeast"/>
        </w:trPr>
        <w:tc>
          <w:tcPr>
            <w:tcW w:w="348" w:type="dxa"/>
            <w:tcBorders>
              <w:top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5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kern w:val="0"/>
              </w:rPr>
            </w:pPr>
          </w:p>
        </w:tc>
        <w:tc>
          <w:tcPr>
            <w:tcW w:w="1622"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color w:val="000000"/>
                <w:kern w:val="0"/>
              </w:rPr>
            </w:pPr>
            <w:r>
              <w:rPr>
                <w:rFonts w:ascii="宋体" w:hAnsi="宋体"/>
                <w:color w:val="000000"/>
                <w:kern w:val="0"/>
              </w:rPr>
              <w:t>月末在产品成本</w:t>
            </w:r>
          </w:p>
          <w:p>
            <w:pPr>
              <w:autoSpaceDE w:val="0"/>
              <w:autoSpaceDN w:val="0"/>
              <w:spacing w:line="300" w:lineRule="atLeast"/>
              <w:jc w:val="center"/>
              <w:rPr>
                <w:rFonts w:ascii="宋体" w:hAnsi="宋体"/>
                <w:color w:val="000000"/>
                <w:kern w:val="0"/>
              </w:rPr>
            </w:pPr>
            <w:r>
              <w:rPr>
                <w:rFonts w:ascii="宋体" w:hAnsi="宋体"/>
                <w:color w:val="000000"/>
                <w:kern w:val="0"/>
              </w:rPr>
              <w:t>（定额成本）</w:t>
            </w:r>
          </w:p>
        </w:tc>
        <w:tc>
          <w:tcPr>
            <w:tcW w:w="143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color w:val="000000"/>
                <w:kern w:val="0"/>
              </w:rPr>
            </w:pPr>
            <w:r>
              <w:rPr>
                <w:rFonts w:ascii="宋体" w:hAnsi="宋体"/>
                <w:color w:val="000000"/>
                <w:kern w:val="0"/>
              </w:rPr>
              <w:t>20000</w:t>
            </w:r>
          </w:p>
          <w:p>
            <w:pPr>
              <w:autoSpaceDE w:val="0"/>
              <w:autoSpaceDN w:val="0"/>
              <w:spacing w:line="300" w:lineRule="atLeast"/>
              <w:jc w:val="center"/>
              <w:rPr>
                <w:rFonts w:ascii="宋体" w:hAnsi="宋体"/>
                <w:color w:val="000000"/>
                <w:kern w:val="0"/>
              </w:rPr>
            </w:pPr>
          </w:p>
        </w:tc>
        <w:tc>
          <w:tcPr>
            <w:tcW w:w="158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color w:val="000000"/>
                <w:kern w:val="0"/>
              </w:rPr>
            </w:pPr>
            <w:r>
              <w:rPr>
                <w:rFonts w:ascii="宋体" w:hAnsi="宋体"/>
                <w:color w:val="000000"/>
                <w:kern w:val="0"/>
              </w:rPr>
              <w:t>800</w:t>
            </w:r>
          </w:p>
          <w:p>
            <w:pPr>
              <w:autoSpaceDE w:val="0"/>
              <w:autoSpaceDN w:val="0"/>
              <w:spacing w:line="300" w:lineRule="atLeast"/>
              <w:jc w:val="center"/>
              <w:rPr>
                <w:rFonts w:ascii="宋体" w:hAnsi="宋体"/>
                <w:color w:val="000000"/>
                <w:kern w:val="0"/>
              </w:rPr>
            </w:pPr>
          </w:p>
        </w:tc>
        <w:tc>
          <w:tcPr>
            <w:tcW w:w="161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pacing w:line="300" w:lineRule="atLeast"/>
              <w:jc w:val="center"/>
              <w:rPr>
                <w:rFonts w:ascii="宋体" w:hAnsi="宋体"/>
                <w:color w:val="000000"/>
                <w:kern w:val="0"/>
              </w:rPr>
            </w:pPr>
            <w:r>
              <w:rPr>
                <w:rFonts w:ascii="宋体" w:hAnsi="宋体"/>
                <w:color w:val="000000"/>
                <w:kern w:val="0"/>
              </w:rPr>
              <w:t>1100</w:t>
            </w:r>
          </w:p>
          <w:p>
            <w:pPr>
              <w:autoSpaceDE w:val="0"/>
              <w:autoSpaceDN w:val="0"/>
              <w:spacing w:line="300" w:lineRule="atLeast"/>
              <w:jc w:val="center"/>
              <w:rPr>
                <w:rFonts w:ascii="宋体" w:hAnsi="宋体"/>
                <w:color w:val="000000"/>
                <w:kern w:val="0"/>
              </w:rPr>
            </w:pPr>
          </w:p>
        </w:tc>
        <w:tc>
          <w:tcPr>
            <w:tcW w:w="1284" w:type="dxa"/>
            <w:tcBorders>
              <w:top w:val="single" w:color="auto" w:sz="4" w:space="0"/>
              <w:left w:val="single" w:color="auto" w:sz="4" w:space="0"/>
              <w:bottom w:val="single" w:color="auto" w:sz="8" w:space="0"/>
            </w:tcBorders>
            <w:noWrap w:val="0"/>
            <w:vAlign w:val="center"/>
          </w:tcPr>
          <w:p>
            <w:pPr>
              <w:autoSpaceDE w:val="0"/>
              <w:autoSpaceDN w:val="0"/>
              <w:spacing w:line="300" w:lineRule="atLeast"/>
              <w:jc w:val="center"/>
              <w:rPr>
                <w:rFonts w:ascii="宋体" w:hAnsi="宋体"/>
                <w:kern w:val="0"/>
              </w:rPr>
            </w:pPr>
          </w:p>
        </w:tc>
      </w:tr>
      <w:tr>
        <w:tblPrEx>
          <w:tblCellMar>
            <w:top w:w="0" w:type="dxa"/>
            <w:left w:w="0" w:type="dxa"/>
            <w:bottom w:w="0" w:type="dxa"/>
            <w:right w:w="0" w:type="dxa"/>
          </w:tblCellMar>
        </w:tblPrEx>
        <w:trPr>
          <w:trHeight w:val="396" w:hRule="atLeast"/>
        </w:trPr>
        <w:tc>
          <w:tcPr>
            <w:tcW w:w="348" w:type="dxa"/>
            <w:tcBorders>
              <w:top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528"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622"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完工产品成本</w:t>
            </w:r>
          </w:p>
        </w:tc>
        <w:tc>
          <w:tcPr>
            <w:tcW w:w="1435"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589"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618"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284" w:type="dxa"/>
            <w:tcBorders>
              <w:top w:val="single" w:color="auto" w:sz="4" w:space="0"/>
              <w:left w:val="single" w:color="auto" w:sz="4" w:space="0"/>
              <w:bottom w:val="single" w:color="auto" w:sz="6" w:space="0"/>
            </w:tcBorders>
            <w:noWrap w:val="0"/>
            <w:vAlign w:val="center"/>
          </w:tcPr>
          <w:p>
            <w:pPr>
              <w:autoSpaceDE w:val="0"/>
              <w:autoSpaceDN w:val="0"/>
              <w:jc w:val="center"/>
              <w:rPr>
                <w:rFonts w:ascii="宋体" w:hAnsi="宋体"/>
                <w:kern w:val="0"/>
              </w:rPr>
            </w:pPr>
          </w:p>
        </w:tc>
      </w:tr>
    </w:tbl>
    <w:p>
      <w:pPr>
        <w:jc w:val="center"/>
        <w:rPr>
          <w:rFonts w:ascii="宋体" w:hAnsi="宋体"/>
          <w:color w:val="000000"/>
        </w:rPr>
      </w:pPr>
      <w:r>
        <w:rPr>
          <w:rFonts w:ascii="宋体" w:hAnsi="宋体"/>
          <w:color w:val="000000"/>
        </w:rPr>
        <w:t>产成品成本计算表</w:t>
      </w:r>
    </w:p>
    <w:p>
      <w:pPr>
        <w:ind w:right="105"/>
        <w:jc w:val="right"/>
        <w:rPr>
          <w:rFonts w:ascii="宋体" w:hAnsi="宋体"/>
          <w:color w:val="000000"/>
        </w:rPr>
      </w:pPr>
      <w:r>
        <w:rPr>
          <w:rFonts w:ascii="宋体" w:hAnsi="宋体"/>
          <w:color w:val="000000"/>
        </w:rPr>
        <w:t>单位：元</w:t>
      </w:r>
    </w:p>
    <w:tbl>
      <w:tblPr>
        <w:tblStyle w:val="4"/>
        <w:tblW w:w="0" w:type="auto"/>
        <w:tblInd w:w="0" w:type="dxa"/>
        <w:tblLayout w:type="fixed"/>
        <w:tblCellMar>
          <w:top w:w="0" w:type="dxa"/>
          <w:left w:w="0" w:type="dxa"/>
          <w:bottom w:w="0" w:type="dxa"/>
          <w:right w:w="0" w:type="dxa"/>
        </w:tblCellMar>
      </w:tblPr>
      <w:tblGrid>
        <w:gridCol w:w="1000"/>
        <w:gridCol w:w="879"/>
        <w:gridCol w:w="1128"/>
        <w:gridCol w:w="1200"/>
        <w:gridCol w:w="1046"/>
        <w:gridCol w:w="1075"/>
        <w:gridCol w:w="1157"/>
        <w:gridCol w:w="833"/>
      </w:tblGrid>
      <w:tr>
        <w:tblPrEx>
          <w:tblCellMar>
            <w:top w:w="0" w:type="dxa"/>
            <w:left w:w="0" w:type="dxa"/>
            <w:bottom w:w="0" w:type="dxa"/>
            <w:right w:w="0" w:type="dxa"/>
          </w:tblCellMar>
        </w:tblPrEx>
        <w:trPr>
          <w:trHeight w:val="454" w:hRule="atLeast"/>
        </w:trPr>
        <w:tc>
          <w:tcPr>
            <w:tcW w:w="1000" w:type="dxa"/>
            <w:tcBorders>
              <w:top w:val="single" w:color="auto" w:sz="6"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项目</w:t>
            </w:r>
          </w:p>
          <w:p>
            <w:pPr>
              <w:autoSpaceDE w:val="0"/>
              <w:autoSpaceDN w:val="0"/>
              <w:snapToGrid w:val="0"/>
              <w:spacing w:line="300" w:lineRule="atLeast"/>
              <w:jc w:val="center"/>
              <w:rPr>
                <w:rFonts w:ascii="宋体" w:hAnsi="宋体"/>
                <w:color w:val="000000"/>
                <w:kern w:val="0"/>
              </w:rPr>
            </w:pPr>
          </w:p>
        </w:tc>
        <w:tc>
          <w:tcPr>
            <w:tcW w:w="879"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产量</w:t>
            </w:r>
          </w:p>
          <w:p>
            <w:pPr>
              <w:autoSpaceDE w:val="0"/>
              <w:autoSpaceDN w:val="0"/>
              <w:snapToGrid w:val="0"/>
              <w:spacing w:line="300" w:lineRule="atLeast"/>
              <w:jc w:val="center"/>
              <w:rPr>
                <w:rFonts w:ascii="宋体" w:hAnsi="宋体"/>
                <w:color w:val="000000"/>
                <w:kern w:val="0"/>
              </w:rPr>
            </w:pPr>
          </w:p>
        </w:tc>
        <w:tc>
          <w:tcPr>
            <w:tcW w:w="1128"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定额成本</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系数</w:t>
            </w:r>
          </w:p>
        </w:tc>
        <w:tc>
          <w:tcPr>
            <w:tcW w:w="1200"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标准量</w:t>
            </w:r>
          </w:p>
          <w:p>
            <w:pPr>
              <w:autoSpaceDE w:val="0"/>
              <w:autoSpaceDN w:val="0"/>
              <w:snapToGrid w:val="0"/>
              <w:spacing w:line="300" w:lineRule="atLeast"/>
              <w:jc w:val="center"/>
              <w:rPr>
                <w:rFonts w:ascii="宋体" w:hAnsi="宋体"/>
                <w:color w:val="000000"/>
                <w:kern w:val="0"/>
              </w:rPr>
            </w:pPr>
          </w:p>
        </w:tc>
        <w:tc>
          <w:tcPr>
            <w:tcW w:w="1046"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直接材料</w:t>
            </w:r>
          </w:p>
          <w:p>
            <w:pPr>
              <w:autoSpaceDE w:val="0"/>
              <w:autoSpaceDN w:val="0"/>
              <w:snapToGrid w:val="0"/>
              <w:spacing w:line="300" w:lineRule="atLeast"/>
              <w:jc w:val="center"/>
              <w:rPr>
                <w:rFonts w:ascii="宋体" w:hAnsi="宋体"/>
                <w:color w:val="000000"/>
                <w:kern w:val="0"/>
              </w:rPr>
            </w:pPr>
          </w:p>
        </w:tc>
        <w:tc>
          <w:tcPr>
            <w:tcW w:w="1075"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直接人工</w:t>
            </w:r>
          </w:p>
          <w:p>
            <w:pPr>
              <w:autoSpaceDE w:val="0"/>
              <w:autoSpaceDN w:val="0"/>
              <w:snapToGrid w:val="0"/>
              <w:spacing w:line="300" w:lineRule="atLeast"/>
              <w:jc w:val="center"/>
              <w:rPr>
                <w:rFonts w:ascii="宋体" w:hAnsi="宋体"/>
                <w:color w:val="000000"/>
                <w:kern w:val="0"/>
              </w:rPr>
            </w:pPr>
          </w:p>
        </w:tc>
        <w:tc>
          <w:tcPr>
            <w:tcW w:w="1157" w:type="dxa"/>
            <w:tcBorders>
              <w:top w:val="single" w:color="auto" w:sz="6"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制造费用</w:t>
            </w:r>
          </w:p>
          <w:p>
            <w:pPr>
              <w:autoSpaceDE w:val="0"/>
              <w:autoSpaceDN w:val="0"/>
              <w:snapToGrid w:val="0"/>
              <w:spacing w:line="300" w:lineRule="atLeast"/>
              <w:jc w:val="center"/>
              <w:rPr>
                <w:rFonts w:ascii="宋体" w:hAnsi="宋体"/>
                <w:color w:val="000000"/>
                <w:kern w:val="0"/>
              </w:rPr>
            </w:pPr>
          </w:p>
        </w:tc>
        <w:tc>
          <w:tcPr>
            <w:tcW w:w="833" w:type="dxa"/>
            <w:tcBorders>
              <w:top w:val="single" w:color="auto" w:sz="6" w:space="0"/>
              <w:left w:val="single" w:color="auto" w:sz="4" w:space="0"/>
              <w:bottom w:val="single" w:color="auto" w:sz="8"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合计</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分配率</w:t>
            </w:r>
          </w:p>
        </w:tc>
        <w:tc>
          <w:tcPr>
            <w:tcW w:w="87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20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833"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540" w:hRule="atLeast"/>
        </w:trPr>
        <w:tc>
          <w:tcPr>
            <w:tcW w:w="1000"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A产品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833"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B产品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10000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833"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C产品</w:t>
            </w:r>
          </w:p>
        </w:tc>
        <w:tc>
          <w:tcPr>
            <w:tcW w:w="879"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6000</w:t>
            </w:r>
          </w:p>
        </w:tc>
        <w:tc>
          <w:tcPr>
            <w:tcW w:w="112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3</w:t>
            </w:r>
          </w:p>
        </w:tc>
        <w:tc>
          <w:tcPr>
            <w:tcW w:w="120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46"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7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57"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833" w:type="dxa"/>
            <w:tcBorders>
              <w:top w:val="single" w:color="auto" w:sz="4" w:space="0"/>
              <w:left w:val="single" w:color="auto" w:sz="4" w:space="0"/>
              <w:bottom w:val="single" w:color="auto" w:sz="8" w:space="0"/>
            </w:tcBorders>
            <w:noWrap w:val="0"/>
            <w:vAlign w:val="center"/>
          </w:tcPr>
          <w:p>
            <w:pPr>
              <w:autoSpaceDE w:val="0"/>
              <w:autoSpaceDN w:val="0"/>
              <w:jc w:val="center"/>
              <w:rPr>
                <w:rFonts w:ascii="宋体" w:hAnsi="宋体"/>
                <w:kern w:val="0"/>
              </w:rPr>
            </w:pPr>
          </w:p>
        </w:tc>
      </w:tr>
      <w:tr>
        <w:tblPrEx>
          <w:tblCellMar>
            <w:top w:w="0" w:type="dxa"/>
            <w:left w:w="0" w:type="dxa"/>
            <w:bottom w:w="0" w:type="dxa"/>
            <w:right w:w="0" w:type="dxa"/>
          </w:tblCellMar>
        </w:tblPrEx>
        <w:trPr>
          <w:trHeight w:val="523" w:hRule="atLeast"/>
        </w:trPr>
        <w:tc>
          <w:tcPr>
            <w:tcW w:w="1000" w:type="dxa"/>
            <w:tcBorders>
              <w:top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合计</w:t>
            </w:r>
          </w:p>
        </w:tc>
        <w:tc>
          <w:tcPr>
            <w:tcW w:w="879"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128"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200"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046"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075"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1157"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kern w:val="0"/>
              </w:rPr>
            </w:pPr>
          </w:p>
        </w:tc>
        <w:tc>
          <w:tcPr>
            <w:tcW w:w="833" w:type="dxa"/>
            <w:tcBorders>
              <w:top w:val="single" w:color="auto" w:sz="4" w:space="0"/>
              <w:left w:val="single" w:color="auto" w:sz="4" w:space="0"/>
              <w:bottom w:val="single" w:color="auto" w:sz="6" w:space="0"/>
            </w:tcBorders>
            <w:noWrap w:val="0"/>
            <w:vAlign w:val="center"/>
          </w:tcPr>
          <w:p>
            <w:pPr>
              <w:autoSpaceDE w:val="0"/>
              <w:autoSpaceDN w:val="0"/>
              <w:jc w:val="center"/>
              <w:rPr>
                <w:rFonts w:ascii="宋体" w:hAnsi="宋体"/>
                <w:kern w:val="0"/>
              </w:rPr>
            </w:pPr>
          </w:p>
        </w:tc>
      </w:tr>
    </w:tbl>
    <w:p>
      <w:pPr>
        <w:tabs>
          <w:tab w:val="left" w:pos="4253"/>
        </w:tabs>
        <w:snapToGrid w:val="0"/>
        <w:rPr>
          <w:rFonts w:ascii="宋体" w:hAnsi="宋体"/>
        </w:rPr>
      </w:pPr>
      <w:r>
        <w:rPr>
          <w:rFonts w:ascii="宋体" w:hAnsi="宋体"/>
        </w:rPr>
        <w:t>要求：(1)根据月初、月末在产品成本定额资料，直接填列上述甲类产品成本明细表。</w:t>
      </w:r>
    </w:p>
    <w:p>
      <w:pPr>
        <w:tabs>
          <w:tab w:val="left" w:pos="4253"/>
        </w:tabs>
        <w:snapToGrid w:val="0"/>
        <w:ind w:firstLine="630" w:firstLineChars="300"/>
        <w:rPr>
          <w:rFonts w:ascii="宋体" w:hAnsi="宋体"/>
        </w:rPr>
      </w:pPr>
      <w:r>
        <w:rPr>
          <w:rFonts w:ascii="宋体" w:hAnsi="宋体"/>
        </w:rPr>
        <w:t>(2)直接填列上述产成品成本计算表。</w:t>
      </w:r>
    </w:p>
    <w:p>
      <w:pPr>
        <w:tabs>
          <w:tab w:val="left" w:pos="4253"/>
        </w:tabs>
        <w:snapToGrid w:val="0"/>
        <w:ind w:left="420" w:hanging="420" w:hangingChars="200"/>
        <w:rPr>
          <w:rFonts w:ascii="宋体" w:hAnsi="宋体"/>
        </w:rPr>
      </w:pPr>
      <w:r>
        <w:rPr>
          <w:rFonts w:ascii="宋体" w:hAnsi="宋体"/>
        </w:rPr>
        <w:t>41、某企业设有供电和机修两个辅助生产车间，在分配辅助生产费用前，供电车间本月生产费用为24000元，机修车间为15000元。本月供电车间供电30000度，其中机修车间耗用2000度，基本生产车间耗用25000度，厂部管理部门耗用3000度。本月机修车间修理工时为7500小时，其中供电车间500小时，基本生产车间4500小时，厂部管理部门2500小时。</w:t>
      </w:r>
    </w:p>
    <w:p>
      <w:pPr>
        <w:tabs>
          <w:tab w:val="left" w:pos="4253"/>
        </w:tabs>
        <w:snapToGrid w:val="0"/>
        <w:ind w:left="424" w:leftChars="202"/>
        <w:rPr>
          <w:rFonts w:hint="eastAsia" w:ascii="宋体" w:hAnsi="宋体"/>
        </w:rPr>
      </w:pPr>
      <w:r>
        <w:rPr>
          <w:rFonts w:ascii="宋体" w:hAnsi="宋体"/>
        </w:rPr>
        <w:t>要求：(1)采用交互分配法分配辅助生产费用，填写下表空格。</w:t>
      </w:r>
    </w:p>
    <w:p>
      <w:pPr>
        <w:ind w:right="105"/>
        <w:jc w:val="center"/>
        <w:rPr>
          <w:rFonts w:ascii="宋体" w:hAnsi="宋体"/>
          <w:color w:val="000000"/>
        </w:rPr>
      </w:pPr>
      <w:r>
        <w:rPr>
          <w:rFonts w:hint="eastAsia" w:ascii="宋体" w:hAnsi="宋体"/>
          <w:color w:val="000000"/>
        </w:rPr>
        <w:t>辅助生产费用分配表</w:t>
      </w:r>
    </w:p>
    <w:p>
      <w:pPr>
        <w:ind w:right="105" w:firstLine="3360" w:firstLineChars="1600"/>
        <w:jc w:val="left"/>
        <w:rPr>
          <w:rFonts w:ascii="宋体" w:hAnsi="宋体"/>
          <w:color w:val="000000"/>
        </w:rPr>
      </w:pPr>
      <w:r>
        <w:rPr>
          <w:rFonts w:hint="eastAsia" w:ascii="宋体" w:hAnsi="宋体"/>
          <w:color w:val="000000"/>
        </w:rPr>
        <w:t xml:space="preserve">（交互分配法） </w:t>
      </w:r>
    </w:p>
    <w:tbl>
      <w:tblPr>
        <w:tblStyle w:val="4"/>
        <w:tblW w:w="0" w:type="auto"/>
        <w:tblInd w:w="7" w:type="dxa"/>
        <w:tblLayout w:type="fixed"/>
        <w:tblCellMar>
          <w:top w:w="0" w:type="dxa"/>
          <w:left w:w="0" w:type="dxa"/>
          <w:bottom w:w="0" w:type="dxa"/>
          <w:right w:w="0" w:type="dxa"/>
        </w:tblCellMar>
      </w:tblPr>
      <w:tblGrid>
        <w:gridCol w:w="727"/>
        <w:gridCol w:w="489"/>
        <w:gridCol w:w="226"/>
        <w:gridCol w:w="720"/>
        <w:gridCol w:w="1291"/>
        <w:gridCol w:w="1085"/>
        <w:gridCol w:w="715"/>
        <w:gridCol w:w="1123"/>
        <w:gridCol w:w="1148"/>
        <w:gridCol w:w="940"/>
      </w:tblGrid>
      <w:tr>
        <w:tblPrEx>
          <w:tblCellMar>
            <w:top w:w="0" w:type="dxa"/>
            <w:left w:w="0" w:type="dxa"/>
            <w:bottom w:w="0" w:type="dxa"/>
            <w:right w:w="0" w:type="dxa"/>
          </w:tblCellMar>
        </w:tblPrEx>
        <w:trPr>
          <w:trHeight w:val="283" w:hRule="atLeast"/>
        </w:trPr>
        <w:tc>
          <w:tcPr>
            <w:tcW w:w="2162" w:type="dxa"/>
            <w:gridSpan w:val="4"/>
            <w:tcBorders>
              <w:top w:val="single" w:color="auto" w:sz="6" w:space="0"/>
              <w:left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项目</w:t>
            </w:r>
          </w:p>
        </w:tc>
        <w:tc>
          <w:tcPr>
            <w:tcW w:w="3091" w:type="dxa"/>
            <w:gridSpan w:val="3"/>
            <w:tcBorders>
              <w:top w:val="single" w:color="auto" w:sz="6"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交互分配</w:t>
            </w:r>
          </w:p>
        </w:tc>
        <w:tc>
          <w:tcPr>
            <w:tcW w:w="3211" w:type="dxa"/>
            <w:gridSpan w:val="3"/>
            <w:tcBorders>
              <w:top w:val="single" w:color="auto" w:sz="6" w:space="0"/>
              <w:left w:val="single" w:color="auto" w:sz="4" w:space="0"/>
              <w:bottom w:val="single" w:color="auto" w:sz="8"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对外分配</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辅助生产车间名称</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供电车间</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机修车间</w:t>
            </w: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合计</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供电车间</w:t>
            </w: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机修车间</w:t>
            </w: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合计</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待分配辅助生产费用</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24000</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15000</w:t>
            </w: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39000</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39000</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供应劳务数量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30000</w:t>
            </w: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7500</w:t>
            </w: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28000</w:t>
            </w: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7000</w:t>
            </w: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费用分配率</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jc w:val="center"/>
              <w:rPr>
                <w:rFonts w:ascii="宋体" w:hAnsi="宋体"/>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r>
      <w:tr>
        <w:tblPrEx>
          <w:tblCellMar>
            <w:top w:w="0" w:type="dxa"/>
            <w:left w:w="0" w:type="dxa"/>
            <w:bottom w:w="0" w:type="dxa"/>
            <w:right w:w="0" w:type="dxa"/>
          </w:tblCellMar>
        </w:tblPrEx>
        <w:trPr>
          <w:trHeight w:val="590" w:hRule="atLeast"/>
        </w:trPr>
        <w:tc>
          <w:tcPr>
            <w:tcW w:w="727" w:type="dxa"/>
            <w:tcBorders>
              <w:top w:val="single" w:color="auto" w:sz="4" w:space="0"/>
              <w:left w:val="single" w:color="auto" w:sz="6" w:space="0"/>
              <w:bottom w:val="nil"/>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715" w:type="dxa"/>
            <w:gridSpan w:val="2"/>
            <w:tcBorders>
              <w:top w:val="single" w:color="auto" w:sz="4" w:space="0"/>
              <w:left w:val="single" w:color="auto" w:sz="4"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供电</w:t>
            </w:r>
          </w:p>
        </w:tc>
        <w:tc>
          <w:tcPr>
            <w:tcW w:w="72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耗用</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500</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90" w:hRule="atLeast"/>
        </w:trPr>
        <w:tc>
          <w:tcPr>
            <w:tcW w:w="727" w:type="dxa"/>
            <w:tcBorders>
              <w:top w:val="nil"/>
              <w:left w:val="single" w:color="auto" w:sz="6"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辅助</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生产</w:t>
            </w:r>
          </w:p>
        </w:tc>
        <w:tc>
          <w:tcPr>
            <w:tcW w:w="715" w:type="dxa"/>
            <w:gridSpan w:val="2"/>
            <w:tcBorders>
              <w:top w:val="nil"/>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车间</w:t>
            </w:r>
          </w:p>
          <w:p>
            <w:pPr>
              <w:autoSpaceDE w:val="0"/>
              <w:autoSpaceDN w:val="0"/>
              <w:snapToGrid w:val="0"/>
              <w:spacing w:line="300" w:lineRule="atLeast"/>
              <w:jc w:val="center"/>
              <w:rPr>
                <w:rFonts w:ascii="宋体" w:hAnsi="宋体"/>
                <w:color w:val="000000"/>
                <w:kern w:val="0"/>
              </w:rPr>
            </w:pPr>
          </w:p>
        </w:tc>
        <w:tc>
          <w:tcPr>
            <w:tcW w:w="72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分配</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90" w:hRule="atLeast"/>
        </w:trPr>
        <w:tc>
          <w:tcPr>
            <w:tcW w:w="727" w:type="dxa"/>
            <w:vMerge w:val="restart"/>
            <w:tcBorders>
              <w:top w:val="nil"/>
              <w:left w:val="single" w:color="auto" w:sz="6"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车间</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耗用</w:t>
            </w:r>
          </w:p>
        </w:tc>
        <w:tc>
          <w:tcPr>
            <w:tcW w:w="715" w:type="dxa"/>
            <w:gridSpan w:val="2"/>
            <w:tcBorders>
              <w:top w:val="single" w:color="auto" w:sz="4" w:space="0"/>
              <w:left w:val="single" w:color="auto" w:sz="4"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机修</w:t>
            </w:r>
          </w:p>
        </w:tc>
        <w:tc>
          <w:tcPr>
            <w:tcW w:w="72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耗用</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2000</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97" w:hRule="atLeast"/>
        </w:trPr>
        <w:tc>
          <w:tcPr>
            <w:tcW w:w="727" w:type="dxa"/>
            <w:vMerge w:val="continue"/>
            <w:tcBorders>
              <w:top w:val="nil"/>
              <w:left w:val="single" w:color="auto" w:sz="6"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715" w:type="dxa"/>
            <w:gridSpan w:val="2"/>
            <w:tcBorders>
              <w:top w:val="nil"/>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车间</w:t>
            </w:r>
          </w:p>
          <w:p>
            <w:pPr>
              <w:autoSpaceDE w:val="0"/>
              <w:autoSpaceDN w:val="0"/>
              <w:snapToGrid w:val="0"/>
              <w:spacing w:line="300" w:lineRule="atLeast"/>
              <w:jc w:val="center"/>
              <w:rPr>
                <w:rFonts w:ascii="宋体" w:hAnsi="宋体"/>
                <w:color w:val="000000"/>
                <w:kern w:val="0"/>
              </w:rPr>
            </w:pPr>
          </w:p>
        </w:tc>
        <w:tc>
          <w:tcPr>
            <w:tcW w:w="720"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分配</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基本生产</w:t>
            </w: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耗用</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25000</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4500</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90" w:hRule="atLeast"/>
        </w:trPr>
        <w:tc>
          <w:tcPr>
            <w:tcW w:w="1216" w:type="dxa"/>
            <w:gridSpan w:val="2"/>
            <w:tcBorders>
              <w:top w:val="nil"/>
              <w:left w:val="single" w:color="auto" w:sz="6"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车间耗用</w:t>
            </w:r>
          </w:p>
          <w:p>
            <w:pPr>
              <w:autoSpaceDE w:val="0"/>
              <w:autoSpaceDN w:val="0"/>
              <w:snapToGrid w:val="0"/>
              <w:spacing w:line="300" w:lineRule="atLeast"/>
              <w:jc w:val="center"/>
              <w:rPr>
                <w:rFonts w:ascii="宋体" w:hAnsi="宋体"/>
                <w:color w:val="000000"/>
                <w:kern w:val="0"/>
              </w:rPr>
            </w:pP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分配</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kern w:val="0"/>
              </w:rPr>
            </w:pP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p>
          <w:p>
            <w:pPr>
              <w:autoSpaceDE w:val="0"/>
              <w:autoSpaceDN w:val="0"/>
              <w:snapToGrid w:val="0"/>
              <w:spacing w:line="300" w:lineRule="atLeast"/>
              <w:jc w:val="center"/>
              <w:rPr>
                <w:rFonts w:ascii="宋体" w:hAnsi="宋体"/>
                <w:color w:val="000000"/>
                <w:kern w:val="0"/>
              </w:rPr>
            </w:pPr>
            <w:r>
              <w:rPr>
                <w:rFonts w:ascii="宋体" w:hAnsi="宋体"/>
                <w:color w:val="000000"/>
                <w:kern w:val="0"/>
              </w:rPr>
              <w:t>行政管理</w:t>
            </w: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耗用</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数量</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3000</w:t>
            </w:r>
          </w:p>
          <w:p>
            <w:pPr>
              <w:autoSpaceDE w:val="0"/>
              <w:autoSpaceDN w:val="0"/>
              <w:snapToGrid w:val="0"/>
              <w:spacing w:line="300" w:lineRule="atLeast"/>
              <w:jc w:val="center"/>
              <w:rPr>
                <w:rFonts w:ascii="宋体" w:hAnsi="宋体"/>
                <w:color w:val="000000"/>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2500</w:t>
            </w:r>
          </w:p>
          <w:p>
            <w:pPr>
              <w:autoSpaceDE w:val="0"/>
              <w:autoSpaceDN w:val="0"/>
              <w:snapToGrid w:val="0"/>
              <w:spacing w:line="300" w:lineRule="atLeast"/>
              <w:jc w:val="center"/>
              <w:rPr>
                <w:rFonts w:ascii="宋体" w:hAnsi="宋体"/>
                <w:color w:val="000000"/>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r>
      <w:tr>
        <w:tblPrEx>
          <w:tblCellMar>
            <w:top w:w="0" w:type="dxa"/>
            <w:left w:w="0" w:type="dxa"/>
            <w:bottom w:w="0" w:type="dxa"/>
            <w:right w:w="0" w:type="dxa"/>
          </w:tblCellMar>
        </w:tblPrEx>
        <w:trPr>
          <w:trHeight w:val="595" w:hRule="atLeast"/>
        </w:trPr>
        <w:tc>
          <w:tcPr>
            <w:tcW w:w="1216" w:type="dxa"/>
            <w:gridSpan w:val="2"/>
            <w:tcBorders>
              <w:top w:val="nil"/>
              <w:left w:val="single" w:color="auto" w:sz="6"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部门耗用</w:t>
            </w:r>
          </w:p>
          <w:p>
            <w:pPr>
              <w:autoSpaceDE w:val="0"/>
              <w:autoSpaceDN w:val="0"/>
              <w:snapToGrid w:val="0"/>
              <w:spacing w:line="300" w:lineRule="atLeast"/>
              <w:jc w:val="center"/>
              <w:rPr>
                <w:rFonts w:ascii="宋体" w:hAnsi="宋体"/>
                <w:color w:val="000000"/>
                <w:kern w:val="0"/>
              </w:rPr>
            </w:pPr>
          </w:p>
        </w:tc>
        <w:tc>
          <w:tcPr>
            <w:tcW w:w="946" w:type="dxa"/>
            <w:gridSpan w:val="2"/>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分配</w:t>
            </w:r>
          </w:p>
          <w:p>
            <w:pPr>
              <w:autoSpaceDE w:val="0"/>
              <w:autoSpaceDN w:val="0"/>
              <w:snapToGrid w:val="0"/>
              <w:spacing w:line="300" w:lineRule="atLeast"/>
              <w:jc w:val="center"/>
              <w:rPr>
                <w:rFonts w:ascii="宋体" w:hAnsi="宋体"/>
                <w:color w:val="000000"/>
                <w:kern w:val="0"/>
              </w:rPr>
            </w:pPr>
            <w:r>
              <w:rPr>
                <w:rFonts w:ascii="宋体" w:hAnsi="宋体"/>
                <w:color w:val="000000"/>
                <w:kern w:val="0"/>
              </w:rPr>
              <w:t>金额</w:t>
            </w:r>
          </w:p>
        </w:tc>
        <w:tc>
          <w:tcPr>
            <w:tcW w:w="1291"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08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715"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color w:val="000000"/>
                <w:kern w:val="0"/>
              </w:rPr>
            </w:pPr>
            <w:r>
              <w:rPr>
                <w:rFonts w:ascii="宋体" w:hAnsi="宋体"/>
                <w:color w:val="000000"/>
                <w:kern w:val="0"/>
              </w:rPr>
              <w:t>×</w:t>
            </w:r>
          </w:p>
          <w:p>
            <w:pPr>
              <w:autoSpaceDE w:val="0"/>
              <w:autoSpaceDN w:val="0"/>
              <w:snapToGrid w:val="0"/>
              <w:spacing w:line="300" w:lineRule="atLeast"/>
              <w:jc w:val="center"/>
              <w:rPr>
                <w:rFonts w:ascii="宋体" w:hAnsi="宋体"/>
                <w:color w:val="000000"/>
                <w:kern w:val="0"/>
              </w:rPr>
            </w:pPr>
          </w:p>
        </w:tc>
        <w:tc>
          <w:tcPr>
            <w:tcW w:w="1123"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1148" w:type="dxa"/>
            <w:tcBorders>
              <w:top w:val="single" w:color="auto" w:sz="4" w:space="0"/>
              <w:left w:val="single" w:color="auto" w:sz="4" w:space="0"/>
              <w:bottom w:val="single" w:color="auto" w:sz="8" w:space="0"/>
              <w:right w:val="single" w:color="auto" w:sz="4" w:space="0"/>
            </w:tcBorders>
            <w:noWrap w:val="0"/>
            <w:vAlign w:val="center"/>
          </w:tcPr>
          <w:p>
            <w:pPr>
              <w:autoSpaceDE w:val="0"/>
              <w:autoSpaceDN w:val="0"/>
              <w:snapToGrid w:val="0"/>
              <w:spacing w:line="300" w:lineRule="atLeast"/>
              <w:jc w:val="center"/>
              <w:rPr>
                <w:rFonts w:ascii="宋体" w:hAnsi="宋体"/>
                <w:kern w:val="0"/>
              </w:rPr>
            </w:pPr>
          </w:p>
        </w:tc>
        <w:tc>
          <w:tcPr>
            <w:tcW w:w="940" w:type="dxa"/>
            <w:tcBorders>
              <w:top w:val="single" w:color="auto" w:sz="4" w:space="0"/>
              <w:left w:val="single" w:color="auto" w:sz="4" w:space="0"/>
              <w:bottom w:val="single" w:color="auto" w:sz="8" w:space="0"/>
              <w:right w:val="single" w:color="auto" w:sz="6" w:space="0"/>
            </w:tcBorders>
            <w:noWrap w:val="0"/>
            <w:vAlign w:val="center"/>
          </w:tcPr>
          <w:p>
            <w:pPr>
              <w:autoSpaceDE w:val="0"/>
              <w:autoSpaceDN w:val="0"/>
              <w:snapToGrid w:val="0"/>
              <w:spacing w:line="300" w:lineRule="atLeast"/>
              <w:jc w:val="center"/>
              <w:rPr>
                <w:rFonts w:ascii="宋体" w:hAnsi="宋体"/>
                <w:kern w:val="0"/>
              </w:rPr>
            </w:pPr>
          </w:p>
        </w:tc>
      </w:tr>
      <w:tr>
        <w:tblPrEx>
          <w:tblCellMar>
            <w:top w:w="0" w:type="dxa"/>
            <w:left w:w="0" w:type="dxa"/>
            <w:bottom w:w="0" w:type="dxa"/>
            <w:right w:w="0" w:type="dxa"/>
          </w:tblCellMar>
        </w:tblPrEx>
        <w:trPr>
          <w:trHeight w:val="360" w:hRule="atLeast"/>
        </w:trPr>
        <w:tc>
          <w:tcPr>
            <w:tcW w:w="2162" w:type="dxa"/>
            <w:gridSpan w:val="4"/>
            <w:tcBorders>
              <w:top w:val="single" w:color="auto" w:sz="4" w:space="0"/>
              <w:left w:val="single" w:color="auto" w:sz="6"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分配金额合计</w:t>
            </w:r>
          </w:p>
        </w:tc>
        <w:tc>
          <w:tcPr>
            <w:tcW w:w="1291"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1085"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715"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1123"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1148" w:type="dxa"/>
            <w:tcBorders>
              <w:top w:val="single" w:color="auto" w:sz="4" w:space="0"/>
              <w:left w:val="single" w:color="auto" w:sz="4" w:space="0"/>
              <w:bottom w:val="single" w:color="auto" w:sz="6" w:space="0"/>
              <w:right w:val="single" w:color="auto" w:sz="4" w:space="0"/>
            </w:tcBorders>
            <w:noWrap w:val="0"/>
            <w:vAlign w:val="center"/>
          </w:tcPr>
          <w:p>
            <w:pPr>
              <w:autoSpaceDE w:val="0"/>
              <w:autoSpaceDN w:val="0"/>
              <w:jc w:val="center"/>
              <w:rPr>
                <w:rFonts w:ascii="宋体" w:hAnsi="宋体"/>
                <w:color w:val="000000"/>
                <w:kern w:val="0"/>
              </w:rPr>
            </w:pPr>
            <w:r>
              <w:rPr>
                <w:rFonts w:ascii="宋体" w:hAnsi="宋体"/>
                <w:color w:val="000000"/>
                <w:kern w:val="0"/>
              </w:rPr>
              <w:t>×</w:t>
            </w:r>
          </w:p>
        </w:tc>
        <w:tc>
          <w:tcPr>
            <w:tcW w:w="940" w:type="dxa"/>
            <w:tcBorders>
              <w:top w:val="single" w:color="auto" w:sz="4" w:space="0"/>
              <w:left w:val="single" w:color="auto" w:sz="4" w:space="0"/>
              <w:bottom w:val="single" w:color="auto" w:sz="6" w:space="0"/>
              <w:right w:val="single" w:color="auto" w:sz="6" w:space="0"/>
            </w:tcBorders>
            <w:noWrap w:val="0"/>
            <w:vAlign w:val="center"/>
          </w:tcPr>
          <w:p>
            <w:pPr>
              <w:autoSpaceDE w:val="0"/>
              <w:autoSpaceDN w:val="0"/>
              <w:jc w:val="center"/>
              <w:rPr>
                <w:rFonts w:ascii="宋体" w:hAnsi="宋体"/>
                <w:color w:val="000000"/>
                <w:kern w:val="0"/>
              </w:rPr>
            </w:pPr>
            <w:r>
              <w:rPr>
                <w:rFonts w:ascii="宋体" w:hAnsi="宋体"/>
                <w:color w:val="000000"/>
                <w:kern w:val="0"/>
              </w:rPr>
              <w:t>39000</w:t>
            </w:r>
          </w:p>
        </w:tc>
      </w:tr>
      <w:tr>
        <w:tblPrEx>
          <w:tblBorders>
            <w:top w:val="single" w:color="auto" w:sz="6"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8464" w:type="dxa"/>
            <w:gridSpan w:val="10"/>
            <w:tcBorders>
              <w:top w:val="single" w:color="auto" w:sz="6" w:space="0"/>
            </w:tcBorders>
            <w:noWrap w:val="0"/>
            <w:vAlign w:val="top"/>
          </w:tcPr>
          <w:p>
            <w:pPr>
              <w:autoSpaceDE w:val="0"/>
              <w:autoSpaceDN w:val="0"/>
              <w:adjustRightInd w:val="0"/>
              <w:jc w:val="left"/>
              <w:rPr>
                <w:rFonts w:ascii="宋体" w:hAnsi="宋体"/>
              </w:rPr>
            </w:pPr>
            <w:r>
              <w:rPr>
                <w:rFonts w:hint="eastAsia" w:ascii="宋体" w:hAnsi="宋体"/>
              </w:rPr>
              <w:t>（2）编制交互分配和对外分配的会计分录。</w:t>
            </w:r>
          </w:p>
        </w:tc>
      </w:tr>
    </w:tbl>
    <w:p>
      <w:pPr>
        <w:rPr>
          <w:rFonts w:hint="eastAsia"/>
          <w:sz w:val="24"/>
          <w:szCs w:val="24"/>
        </w:rPr>
      </w:pPr>
    </w:p>
    <w:p>
      <w:pPr>
        <w:rPr>
          <w:rFonts w:hint="eastAsia"/>
          <w:sz w:val="24"/>
          <w:szCs w:val="24"/>
        </w:rPr>
      </w:pPr>
    </w:p>
    <w:p>
      <w:pPr>
        <w:rPr>
          <w:sz w:val="24"/>
          <w:szCs w:val="24"/>
        </w:rPr>
      </w:pPr>
      <w:r>
        <w:rPr>
          <w:rFonts w:hint="eastAsia"/>
          <w:sz w:val="24"/>
          <w:szCs w:val="24"/>
        </w:rPr>
        <w:t>成本会计</w:t>
      </w:r>
      <w:r>
        <w:rPr>
          <w:rFonts w:hint="eastAsia"/>
          <w:sz w:val="24"/>
          <w:szCs w:val="24"/>
          <w:lang w:val="en-US" w:eastAsia="zh-CN"/>
        </w:rPr>
        <w:t>复习资料</w:t>
      </w:r>
      <w:r>
        <w:rPr>
          <w:rFonts w:hint="eastAsia"/>
          <w:sz w:val="24"/>
          <w:szCs w:val="24"/>
        </w:rPr>
        <w:t>答案</w:t>
      </w:r>
    </w:p>
    <w:p>
      <w:pPr>
        <w:rPr>
          <w:sz w:val="24"/>
          <w:szCs w:val="24"/>
        </w:rPr>
      </w:pPr>
    </w:p>
    <w:p>
      <w:pPr>
        <w:rPr>
          <w:sz w:val="24"/>
          <w:szCs w:val="24"/>
        </w:rPr>
      </w:pPr>
      <w:r>
        <w:rPr>
          <w:rFonts w:hint="eastAsia"/>
          <w:sz w:val="24"/>
          <w:szCs w:val="24"/>
        </w:rPr>
        <w:t>一．1B  2B  3A  4B  5C  6B  7C  8C  9A  10B  11D  12A  13B  14C  15B  16  17  18</w:t>
      </w:r>
      <w:r>
        <w:rPr>
          <w:rFonts w:hint="eastAsia"/>
          <w:sz w:val="24"/>
          <w:szCs w:val="24"/>
          <w:lang w:val="en-US" w:eastAsia="zh-CN"/>
        </w:rPr>
        <w:t xml:space="preserve"> </w:t>
      </w:r>
      <w:r>
        <w:rPr>
          <w:rFonts w:hint="eastAsia"/>
          <w:sz w:val="24"/>
          <w:szCs w:val="24"/>
        </w:rPr>
        <w:t xml:space="preserve"> 19  20</w:t>
      </w:r>
    </w:p>
    <w:p>
      <w:pPr>
        <w:rPr>
          <w:sz w:val="24"/>
          <w:szCs w:val="24"/>
        </w:rPr>
      </w:pPr>
      <w:r>
        <w:rPr>
          <w:rFonts w:hint="eastAsia"/>
          <w:sz w:val="24"/>
          <w:szCs w:val="24"/>
        </w:rPr>
        <w:t xml:space="preserve">二.21ABD  22ABCE  23ABC  24ABE  25AE  26ABC  27ABCDE  28  29  30  </w:t>
      </w:r>
    </w:p>
    <w:p>
      <w:pPr>
        <w:rPr>
          <w:rFonts w:ascii="MS Mincho" w:hAnsi="MS Mincho" w:cs="MS Mincho"/>
          <w:sz w:val="24"/>
          <w:szCs w:val="24"/>
        </w:rPr>
      </w:pPr>
      <w:bookmarkStart w:id="0" w:name="_GoBack"/>
      <w:bookmarkEnd w:id="0"/>
      <w:r>
        <w:rPr>
          <w:rFonts w:hint="eastAsia" w:ascii="MS Mincho" w:hAnsi="MS Mincho" w:cs="MS Mincho"/>
          <w:sz w:val="24"/>
          <w:szCs w:val="24"/>
        </w:rPr>
        <w:t>四．36.37略</w:t>
      </w:r>
    </w:p>
    <w:p>
      <w:pPr>
        <w:rPr>
          <w:rFonts w:ascii="MS Mincho" w:hAnsi="MS Mincho" w:cs="MS Mincho"/>
          <w:sz w:val="24"/>
          <w:szCs w:val="24"/>
        </w:rPr>
      </w:pPr>
      <w:r>
        <w:rPr>
          <w:rFonts w:hint="eastAsia" w:ascii="MS Mincho" w:hAnsi="MS Mincho" w:cs="MS Mincho"/>
          <w:sz w:val="24"/>
          <w:szCs w:val="24"/>
        </w:rPr>
        <w:t>五．38.1.第一道工序投料c程度=350/500=70%</w:t>
      </w:r>
    </w:p>
    <w:p>
      <w:pPr>
        <w:rPr>
          <w:rFonts w:ascii="MS Mincho" w:hAnsi="MS Mincho" w:cs="MS Mincho"/>
          <w:sz w:val="24"/>
          <w:szCs w:val="24"/>
        </w:rPr>
      </w:pPr>
      <w:r>
        <w:rPr>
          <w:rFonts w:hint="eastAsia" w:ascii="MS Mincho" w:hAnsi="MS Mincho" w:cs="MS Mincho"/>
          <w:sz w:val="24"/>
          <w:szCs w:val="24"/>
        </w:rPr>
        <w:t xml:space="preserve">        第二道工序投料c程度=350+150/500=100%</w:t>
      </w:r>
    </w:p>
    <w:p>
      <w:pPr>
        <w:rPr>
          <w:rFonts w:ascii="MS Mincho" w:hAnsi="MS Mincho" w:cs="MS Mincho"/>
          <w:sz w:val="24"/>
          <w:szCs w:val="24"/>
        </w:rPr>
      </w:pPr>
      <w:r>
        <w:rPr>
          <w:rFonts w:hint="eastAsia" w:ascii="MS Mincho" w:hAnsi="MS Mincho" w:cs="MS Mincho"/>
          <w:sz w:val="24"/>
          <w:szCs w:val="24"/>
        </w:rPr>
        <w:t xml:space="preserve">        第一道工序在产品约当产量=120*70%=84</w:t>
      </w:r>
    </w:p>
    <w:p>
      <w:pPr>
        <w:rPr>
          <w:rFonts w:ascii="MS Mincho" w:hAnsi="MS Mincho" w:cs="MS Mincho"/>
          <w:sz w:val="24"/>
          <w:szCs w:val="24"/>
        </w:rPr>
      </w:pPr>
      <w:r>
        <w:rPr>
          <w:rFonts w:hint="eastAsia" w:ascii="MS Mincho" w:hAnsi="MS Mincho" w:cs="MS Mincho"/>
          <w:sz w:val="24"/>
          <w:szCs w:val="24"/>
        </w:rPr>
        <w:t xml:space="preserve">        第二道序在产品约当产量=80*100%=80</w:t>
      </w:r>
    </w:p>
    <w:p>
      <w:pPr>
        <w:rPr>
          <w:rFonts w:ascii="MS Mincho" w:hAnsi="MS Mincho" w:cs="MS Mincho"/>
          <w:sz w:val="24"/>
          <w:szCs w:val="24"/>
        </w:rPr>
      </w:pPr>
      <w:r>
        <w:rPr>
          <w:rFonts w:hint="eastAsia" w:ascii="MS Mincho" w:hAnsi="MS Mincho" w:cs="MS Mincho"/>
          <w:sz w:val="24"/>
          <w:szCs w:val="24"/>
        </w:rPr>
        <w:t xml:space="preserve">       2.第一道工序在产品完工程度=12*50%/20=30%</w:t>
      </w:r>
    </w:p>
    <w:p>
      <w:pPr>
        <w:rPr>
          <w:rFonts w:ascii="MS Mincho" w:hAnsi="MS Mincho" w:cs="MS Mincho"/>
          <w:sz w:val="24"/>
          <w:szCs w:val="24"/>
        </w:rPr>
      </w:pPr>
      <w:r>
        <w:rPr>
          <w:rFonts w:hint="eastAsia" w:ascii="MS Mincho" w:hAnsi="MS Mincho" w:cs="MS Mincho"/>
          <w:sz w:val="24"/>
          <w:szCs w:val="24"/>
        </w:rPr>
        <w:t xml:space="preserve">         第二道工序在产品完工程度=12+8*50%/20=80%</w:t>
      </w:r>
    </w:p>
    <w:p>
      <w:pPr>
        <w:rPr>
          <w:rFonts w:ascii="MS Mincho" w:hAnsi="MS Mincho" w:cs="MS Mincho"/>
          <w:sz w:val="24"/>
          <w:szCs w:val="24"/>
        </w:rPr>
      </w:pPr>
      <w:r>
        <w:rPr>
          <w:rFonts w:hint="eastAsia" w:ascii="MS Mincho" w:hAnsi="MS Mincho" w:cs="MS Mincho"/>
          <w:sz w:val="24"/>
          <w:szCs w:val="24"/>
        </w:rPr>
        <w:t xml:space="preserve">         第一道月末在产品约当产量=120*30%=36</w:t>
      </w:r>
    </w:p>
    <w:p>
      <w:pPr>
        <w:rPr>
          <w:rFonts w:ascii="MS Mincho" w:hAnsi="MS Mincho" w:cs="MS Mincho"/>
          <w:sz w:val="24"/>
          <w:szCs w:val="24"/>
        </w:rPr>
      </w:pPr>
      <w:r>
        <w:rPr>
          <w:rFonts w:hint="eastAsia" w:ascii="MS Mincho" w:hAnsi="MS Mincho" w:cs="MS Mincho"/>
          <w:sz w:val="24"/>
          <w:szCs w:val="24"/>
        </w:rPr>
        <w:t xml:space="preserve">         第二道月末在产品约当产量=80*80%</w:t>
      </w:r>
    </w:p>
    <w:p>
      <w:pPr>
        <w:rPr>
          <w:rFonts w:ascii="MS Mincho" w:hAnsi="MS Mincho" w:cs="MS Mincho"/>
          <w:sz w:val="24"/>
          <w:szCs w:val="24"/>
        </w:rPr>
      </w:pPr>
      <w:r>
        <w:rPr>
          <w:rFonts w:hint="eastAsia" w:ascii="MS Mincho" w:hAnsi="MS Mincho" w:cs="MS Mincho"/>
          <w:sz w:val="24"/>
          <w:szCs w:val="24"/>
        </w:rPr>
        <w:t>39.定额折算系数=85/100=0.85</w:t>
      </w:r>
    </w:p>
    <w:p>
      <w:pPr>
        <w:rPr>
          <w:rFonts w:ascii="MS Mincho" w:hAnsi="MS Mincho" w:cs="MS Mincho"/>
          <w:sz w:val="24"/>
          <w:szCs w:val="24"/>
        </w:rPr>
      </w:pPr>
      <w:r>
        <w:rPr>
          <w:rFonts w:hint="eastAsia" w:ascii="MS Mincho" w:hAnsi="MS Mincho" w:cs="MS Mincho"/>
          <w:sz w:val="24"/>
          <w:szCs w:val="24"/>
        </w:rPr>
        <w:t xml:space="preserve">  定额变动差异=10000*（1-0.85）=1500</w:t>
      </w:r>
    </w:p>
    <w:p>
      <w:pPr>
        <w:rPr>
          <w:rFonts w:ascii="MS Mincho" w:hAnsi="MS Mincho" w:cs="MS Mincho"/>
          <w:sz w:val="24"/>
          <w:szCs w:val="24"/>
        </w:rPr>
      </w:pPr>
      <w:r>
        <w:rPr>
          <w:rFonts w:hint="eastAsia" w:ascii="MS Mincho" w:hAnsi="MS Mincho" w:cs="MS Mincho"/>
          <w:sz w:val="24"/>
          <w:szCs w:val="24"/>
        </w:rPr>
        <w:t xml:space="preserve"> 月初在产品材料成本=10000-1500=8500</w:t>
      </w:r>
    </w:p>
    <w:p>
      <w:pPr>
        <w:tabs>
          <w:tab w:val="left" w:pos="4253"/>
        </w:tabs>
        <w:snapToGrid w:val="0"/>
        <w:rPr>
          <w:rFonts w:hint="default" w:eastAsiaTheme="minorEastAsia"/>
          <w:lang w:val="en-US" w:eastAsia="zh-CN"/>
        </w:rPr>
      </w:pPr>
      <w:r>
        <w:rPr>
          <w:rFonts w:hint="eastAsia"/>
          <w:lang w:val="en-US" w:eastAsia="zh-CN"/>
        </w:rPr>
        <w:t>40、</w:t>
      </w:r>
    </w:p>
    <w:p>
      <w:pPr>
        <w:tabs>
          <w:tab w:val="left" w:pos="4253"/>
        </w:tabs>
        <w:snapToGrid w:val="0"/>
        <w:ind w:firstLine="420" w:firstLineChars="200"/>
      </w:pPr>
      <w:r>
        <w:t xml:space="preserve">类别：甲             2010年4月                               </w:t>
      </w:r>
      <w:r>
        <w:rPr>
          <w:rFonts w:hint="eastAsia"/>
        </w:rPr>
        <w:t xml:space="preserve"> </w:t>
      </w:r>
      <w:r>
        <w:t xml:space="preserve"> 单位：元</w:t>
      </w:r>
    </w:p>
    <w:tbl>
      <w:tblPr>
        <w:tblStyle w:val="4"/>
        <w:tblW w:w="8424" w:type="dxa"/>
        <w:tblInd w:w="15" w:type="dxa"/>
        <w:tblLayout w:type="fixed"/>
        <w:tblCellMar>
          <w:top w:w="0" w:type="dxa"/>
          <w:left w:w="0" w:type="dxa"/>
          <w:bottom w:w="0" w:type="dxa"/>
          <w:right w:w="0" w:type="dxa"/>
        </w:tblCellMar>
      </w:tblPr>
      <w:tblGrid>
        <w:gridCol w:w="348"/>
        <w:gridCol w:w="528"/>
        <w:gridCol w:w="1622"/>
        <w:gridCol w:w="1435"/>
        <w:gridCol w:w="1589"/>
        <w:gridCol w:w="1618"/>
        <w:gridCol w:w="1284"/>
      </w:tblGrid>
      <w:tr>
        <w:tblPrEx>
          <w:tblCellMar>
            <w:top w:w="0" w:type="dxa"/>
            <w:left w:w="0" w:type="dxa"/>
            <w:bottom w:w="0" w:type="dxa"/>
            <w:right w:w="0" w:type="dxa"/>
          </w:tblCellMar>
        </w:tblPrEx>
        <w:trPr>
          <w:trHeight w:val="532" w:hRule="atLeast"/>
        </w:trPr>
        <w:tc>
          <w:tcPr>
            <w:tcW w:w="348" w:type="dxa"/>
            <w:tcBorders>
              <w:top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月</w:t>
            </w:r>
          </w:p>
        </w:tc>
        <w:tc>
          <w:tcPr>
            <w:tcW w:w="528"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曰</w:t>
            </w:r>
          </w:p>
        </w:tc>
        <w:tc>
          <w:tcPr>
            <w:tcW w:w="1622"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摘要</w:t>
            </w:r>
          </w:p>
        </w:tc>
        <w:tc>
          <w:tcPr>
            <w:tcW w:w="1435"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直接材料</w:t>
            </w:r>
          </w:p>
        </w:tc>
        <w:tc>
          <w:tcPr>
            <w:tcW w:w="1589"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直接人工</w:t>
            </w:r>
          </w:p>
        </w:tc>
        <w:tc>
          <w:tcPr>
            <w:tcW w:w="1618" w:type="dxa"/>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制造费用</w:t>
            </w:r>
          </w:p>
        </w:tc>
        <w:tc>
          <w:tcPr>
            <w:tcW w:w="1284" w:type="dxa"/>
            <w:tcBorders>
              <w:top w:val="single" w:color="auto" w:sz="6" w:space="0"/>
              <w:left w:val="single" w:color="auto" w:sz="4" w:space="0"/>
              <w:bottom w:val="single" w:color="auto" w:sz="8" w:space="0"/>
            </w:tcBorders>
            <w:vAlign w:val="center"/>
          </w:tcPr>
          <w:p>
            <w:pPr>
              <w:autoSpaceDE w:val="0"/>
              <w:autoSpaceDN w:val="0"/>
              <w:jc w:val="center"/>
              <w:rPr>
                <w:color w:val="000000"/>
                <w:kern w:val="0"/>
                <w:sz w:val="18"/>
                <w:szCs w:val="18"/>
              </w:rPr>
            </w:pPr>
            <w:r>
              <w:rPr>
                <w:color w:val="000000"/>
                <w:kern w:val="0"/>
                <w:sz w:val="18"/>
                <w:szCs w:val="18"/>
              </w:rPr>
              <w:t>合计</w:t>
            </w:r>
          </w:p>
        </w:tc>
      </w:tr>
      <w:tr>
        <w:tblPrEx>
          <w:tblCellMar>
            <w:top w:w="0" w:type="dxa"/>
            <w:left w:w="0" w:type="dxa"/>
            <w:bottom w:w="0" w:type="dxa"/>
            <w:right w:w="0" w:type="dxa"/>
          </w:tblCellMar>
        </w:tblPrEx>
        <w:trPr>
          <w:trHeight w:val="393" w:hRule="atLeast"/>
        </w:trPr>
        <w:tc>
          <w:tcPr>
            <w:tcW w:w="348"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6</w:t>
            </w: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30</w:t>
            </w: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月初在产品成本</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20000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2900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4200</w:t>
            </w:r>
          </w:p>
        </w:tc>
        <w:tc>
          <w:tcPr>
            <w:tcW w:w="1284"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27100</w:t>
            </w:r>
          </w:p>
        </w:tc>
      </w:tr>
      <w:tr>
        <w:tblPrEx>
          <w:tblCellMar>
            <w:top w:w="0" w:type="dxa"/>
            <w:left w:w="0" w:type="dxa"/>
            <w:bottom w:w="0" w:type="dxa"/>
            <w:right w:w="0" w:type="dxa"/>
          </w:tblCellMar>
        </w:tblPrEx>
        <w:trPr>
          <w:trHeight w:val="376" w:hRule="atLeast"/>
        </w:trPr>
        <w:tc>
          <w:tcPr>
            <w:tcW w:w="348"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略</w:t>
            </w: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本月生产耗费</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171000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16800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11000</w:t>
            </w:r>
          </w:p>
        </w:tc>
        <w:tc>
          <w:tcPr>
            <w:tcW w:w="1284"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198800</w:t>
            </w:r>
          </w:p>
        </w:tc>
      </w:tr>
      <w:tr>
        <w:tblPrEx>
          <w:tblCellMar>
            <w:top w:w="0" w:type="dxa"/>
            <w:left w:w="0" w:type="dxa"/>
            <w:bottom w:w="0" w:type="dxa"/>
            <w:right w:w="0" w:type="dxa"/>
          </w:tblCellMar>
        </w:tblPrEx>
        <w:trPr>
          <w:trHeight w:val="631" w:hRule="atLeast"/>
        </w:trPr>
        <w:tc>
          <w:tcPr>
            <w:tcW w:w="348" w:type="dxa"/>
            <w:tcBorders>
              <w:top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生产费用合计</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191000</w:t>
            </w: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19700</w:t>
            </w: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r>
              <w:rPr>
                <w:rFonts w:hint="eastAsia"/>
                <w:kern w:val="0"/>
                <w:sz w:val="24"/>
                <w:szCs w:val="24"/>
              </w:rPr>
              <w:t>15200</w:t>
            </w:r>
          </w:p>
        </w:tc>
        <w:tc>
          <w:tcPr>
            <w:tcW w:w="1284" w:type="dxa"/>
            <w:tcBorders>
              <w:top w:val="single" w:color="auto" w:sz="4" w:space="0"/>
              <w:left w:val="single" w:color="auto" w:sz="4" w:space="0"/>
              <w:bottom w:val="single" w:color="auto" w:sz="8" w:space="0"/>
            </w:tcBorders>
            <w:vAlign w:val="center"/>
          </w:tcPr>
          <w:p>
            <w:pPr>
              <w:autoSpaceDE w:val="0"/>
              <w:autoSpaceDN w:val="0"/>
              <w:spacing w:line="300" w:lineRule="atLeast"/>
              <w:jc w:val="center"/>
              <w:rPr>
                <w:kern w:val="0"/>
                <w:sz w:val="24"/>
                <w:szCs w:val="24"/>
              </w:rPr>
            </w:pPr>
            <w:r>
              <w:rPr>
                <w:rFonts w:hint="eastAsia"/>
                <w:kern w:val="0"/>
                <w:sz w:val="24"/>
                <w:szCs w:val="24"/>
              </w:rPr>
              <w:t>225900</w:t>
            </w:r>
          </w:p>
        </w:tc>
      </w:tr>
      <w:tr>
        <w:tblPrEx>
          <w:tblCellMar>
            <w:top w:w="0" w:type="dxa"/>
            <w:left w:w="0" w:type="dxa"/>
            <w:bottom w:w="0" w:type="dxa"/>
            <w:right w:w="0" w:type="dxa"/>
          </w:tblCellMar>
        </w:tblPrEx>
        <w:trPr>
          <w:trHeight w:val="657" w:hRule="atLeast"/>
        </w:trPr>
        <w:tc>
          <w:tcPr>
            <w:tcW w:w="348" w:type="dxa"/>
            <w:tcBorders>
              <w:top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52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kern w:val="0"/>
                <w:sz w:val="24"/>
                <w:szCs w:val="24"/>
              </w:rPr>
            </w:pPr>
          </w:p>
        </w:tc>
        <w:tc>
          <w:tcPr>
            <w:tcW w:w="1622"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月末在产品成本</w:t>
            </w:r>
          </w:p>
          <w:p>
            <w:pPr>
              <w:autoSpaceDE w:val="0"/>
              <w:autoSpaceDN w:val="0"/>
              <w:spacing w:line="300" w:lineRule="atLeast"/>
              <w:jc w:val="center"/>
              <w:rPr>
                <w:color w:val="000000"/>
                <w:kern w:val="0"/>
                <w:sz w:val="18"/>
                <w:szCs w:val="18"/>
              </w:rPr>
            </w:pPr>
            <w:r>
              <w:rPr>
                <w:color w:val="000000"/>
                <w:kern w:val="0"/>
                <w:sz w:val="18"/>
                <w:szCs w:val="18"/>
              </w:rPr>
              <w:t>（定额成本）</w:t>
            </w:r>
          </w:p>
        </w:tc>
        <w:tc>
          <w:tcPr>
            <w:tcW w:w="1435"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20000</w:t>
            </w:r>
          </w:p>
          <w:p>
            <w:pPr>
              <w:autoSpaceDE w:val="0"/>
              <w:autoSpaceDN w:val="0"/>
              <w:spacing w:line="300" w:lineRule="atLeast"/>
              <w:jc w:val="center"/>
              <w:rPr>
                <w:color w:val="000000"/>
                <w:kern w:val="0"/>
                <w:sz w:val="18"/>
                <w:szCs w:val="18"/>
              </w:rPr>
            </w:pPr>
          </w:p>
        </w:tc>
        <w:tc>
          <w:tcPr>
            <w:tcW w:w="1589"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800</w:t>
            </w:r>
          </w:p>
          <w:p>
            <w:pPr>
              <w:autoSpaceDE w:val="0"/>
              <w:autoSpaceDN w:val="0"/>
              <w:spacing w:line="300" w:lineRule="atLeast"/>
              <w:jc w:val="center"/>
              <w:rPr>
                <w:color w:val="000000"/>
                <w:kern w:val="0"/>
                <w:sz w:val="18"/>
                <w:szCs w:val="18"/>
              </w:rPr>
            </w:pPr>
          </w:p>
        </w:tc>
        <w:tc>
          <w:tcPr>
            <w:tcW w:w="1618" w:type="dxa"/>
            <w:tcBorders>
              <w:top w:val="single" w:color="auto" w:sz="4" w:space="0"/>
              <w:left w:val="single" w:color="auto" w:sz="4" w:space="0"/>
              <w:bottom w:val="single" w:color="auto" w:sz="8" w:space="0"/>
              <w:right w:val="single" w:color="auto" w:sz="4" w:space="0"/>
            </w:tcBorders>
            <w:vAlign w:val="center"/>
          </w:tcPr>
          <w:p>
            <w:pPr>
              <w:autoSpaceDE w:val="0"/>
              <w:autoSpaceDN w:val="0"/>
              <w:spacing w:line="300" w:lineRule="atLeast"/>
              <w:jc w:val="center"/>
              <w:rPr>
                <w:color w:val="000000"/>
                <w:kern w:val="0"/>
                <w:sz w:val="18"/>
                <w:szCs w:val="18"/>
              </w:rPr>
            </w:pPr>
            <w:r>
              <w:rPr>
                <w:color w:val="000000"/>
                <w:kern w:val="0"/>
                <w:sz w:val="18"/>
                <w:szCs w:val="18"/>
              </w:rPr>
              <w:t>1100</w:t>
            </w:r>
          </w:p>
          <w:p>
            <w:pPr>
              <w:autoSpaceDE w:val="0"/>
              <w:autoSpaceDN w:val="0"/>
              <w:spacing w:line="300" w:lineRule="atLeast"/>
              <w:jc w:val="center"/>
              <w:rPr>
                <w:color w:val="000000"/>
                <w:kern w:val="0"/>
                <w:sz w:val="18"/>
                <w:szCs w:val="18"/>
              </w:rPr>
            </w:pPr>
          </w:p>
        </w:tc>
        <w:tc>
          <w:tcPr>
            <w:tcW w:w="1284" w:type="dxa"/>
            <w:tcBorders>
              <w:top w:val="single" w:color="auto" w:sz="4" w:space="0"/>
              <w:left w:val="single" w:color="auto" w:sz="4" w:space="0"/>
              <w:bottom w:val="single" w:color="auto" w:sz="8" w:space="0"/>
            </w:tcBorders>
            <w:vAlign w:val="center"/>
          </w:tcPr>
          <w:p>
            <w:pPr>
              <w:autoSpaceDE w:val="0"/>
              <w:autoSpaceDN w:val="0"/>
              <w:spacing w:line="300" w:lineRule="atLeast"/>
              <w:jc w:val="center"/>
              <w:rPr>
                <w:kern w:val="0"/>
                <w:sz w:val="24"/>
                <w:szCs w:val="24"/>
              </w:rPr>
            </w:pPr>
            <w:r>
              <w:rPr>
                <w:rFonts w:hint="eastAsia"/>
                <w:kern w:val="0"/>
                <w:sz w:val="24"/>
                <w:szCs w:val="24"/>
              </w:rPr>
              <w:t>21900</w:t>
            </w:r>
          </w:p>
        </w:tc>
      </w:tr>
      <w:tr>
        <w:tblPrEx>
          <w:tblCellMar>
            <w:top w:w="0" w:type="dxa"/>
            <w:left w:w="0" w:type="dxa"/>
            <w:bottom w:w="0" w:type="dxa"/>
            <w:right w:w="0" w:type="dxa"/>
          </w:tblCellMar>
        </w:tblPrEx>
        <w:trPr>
          <w:trHeight w:val="396" w:hRule="atLeast"/>
        </w:trPr>
        <w:tc>
          <w:tcPr>
            <w:tcW w:w="348" w:type="dxa"/>
            <w:tcBorders>
              <w:top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52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622"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完工产品成本</w:t>
            </w:r>
          </w:p>
        </w:tc>
        <w:tc>
          <w:tcPr>
            <w:tcW w:w="143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171000</w:t>
            </w:r>
          </w:p>
        </w:tc>
        <w:tc>
          <w:tcPr>
            <w:tcW w:w="1589"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18900</w:t>
            </w:r>
          </w:p>
        </w:tc>
        <w:tc>
          <w:tcPr>
            <w:tcW w:w="161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14100</w:t>
            </w:r>
          </w:p>
        </w:tc>
        <w:tc>
          <w:tcPr>
            <w:tcW w:w="1284" w:type="dxa"/>
            <w:tcBorders>
              <w:top w:val="single" w:color="auto" w:sz="4" w:space="0"/>
              <w:left w:val="single" w:color="auto" w:sz="4" w:space="0"/>
              <w:bottom w:val="single" w:color="auto" w:sz="6" w:space="0"/>
            </w:tcBorders>
            <w:vAlign w:val="center"/>
          </w:tcPr>
          <w:p>
            <w:pPr>
              <w:autoSpaceDE w:val="0"/>
              <w:autoSpaceDN w:val="0"/>
              <w:jc w:val="center"/>
              <w:rPr>
                <w:kern w:val="0"/>
                <w:sz w:val="24"/>
                <w:szCs w:val="24"/>
              </w:rPr>
            </w:pPr>
            <w:r>
              <w:rPr>
                <w:rFonts w:hint="eastAsia"/>
                <w:kern w:val="0"/>
                <w:sz w:val="24"/>
                <w:szCs w:val="24"/>
              </w:rPr>
              <w:t>204000</w:t>
            </w:r>
          </w:p>
        </w:tc>
      </w:tr>
    </w:tbl>
    <w:p>
      <w:pPr>
        <w:jc w:val="center"/>
        <w:rPr>
          <w:color w:val="000000"/>
        </w:rPr>
      </w:pPr>
    </w:p>
    <w:p>
      <w:pPr>
        <w:jc w:val="center"/>
        <w:rPr>
          <w:color w:val="000000"/>
        </w:rPr>
      </w:pPr>
      <w:r>
        <w:rPr>
          <w:color w:val="000000"/>
        </w:rPr>
        <w:t>产成品成本计算表</w:t>
      </w:r>
    </w:p>
    <w:p>
      <w:pPr>
        <w:ind w:right="105"/>
        <w:jc w:val="right"/>
        <w:rPr>
          <w:color w:val="000000"/>
        </w:rPr>
      </w:pPr>
      <w:r>
        <w:rPr>
          <w:color w:val="000000"/>
        </w:rPr>
        <w:t>单位：元</w:t>
      </w:r>
    </w:p>
    <w:tbl>
      <w:tblPr>
        <w:tblStyle w:val="4"/>
        <w:tblW w:w="8318" w:type="dxa"/>
        <w:tblInd w:w="0" w:type="dxa"/>
        <w:tblLayout w:type="fixed"/>
        <w:tblCellMar>
          <w:top w:w="0" w:type="dxa"/>
          <w:left w:w="0" w:type="dxa"/>
          <w:bottom w:w="0" w:type="dxa"/>
          <w:right w:w="0" w:type="dxa"/>
        </w:tblCellMar>
      </w:tblPr>
      <w:tblGrid>
        <w:gridCol w:w="1000"/>
        <w:gridCol w:w="879"/>
        <w:gridCol w:w="1128"/>
        <w:gridCol w:w="1200"/>
        <w:gridCol w:w="1046"/>
        <w:gridCol w:w="1075"/>
        <w:gridCol w:w="1157"/>
        <w:gridCol w:w="833"/>
      </w:tblGrid>
      <w:tr>
        <w:tblPrEx>
          <w:tblCellMar>
            <w:top w:w="0" w:type="dxa"/>
            <w:left w:w="0" w:type="dxa"/>
            <w:bottom w:w="0" w:type="dxa"/>
            <w:right w:w="0" w:type="dxa"/>
          </w:tblCellMar>
        </w:tblPrEx>
        <w:trPr>
          <w:trHeight w:val="454" w:hRule="atLeast"/>
        </w:trPr>
        <w:tc>
          <w:tcPr>
            <w:tcW w:w="1000" w:type="dxa"/>
            <w:tcBorders>
              <w:top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项目</w:t>
            </w:r>
          </w:p>
          <w:p>
            <w:pPr>
              <w:autoSpaceDE w:val="0"/>
              <w:autoSpaceDN w:val="0"/>
              <w:snapToGrid w:val="0"/>
              <w:spacing w:line="300" w:lineRule="atLeast"/>
              <w:jc w:val="center"/>
              <w:rPr>
                <w:color w:val="000000"/>
                <w:kern w:val="0"/>
                <w:sz w:val="18"/>
                <w:szCs w:val="18"/>
              </w:rPr>
            </w:pPr>
          </w:p>
        </w:tc>
        <w:tc>
          <w:tcPr>
            <w:tcW w:w="879"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产量</w:t>
            </w:r>
          </w:p>
          <w:p>
            <w:pPr>
              <w:autoSpaceDE w:val="0"/>
              <w:autoSpaceDN w:val="0"/>
              <w:snapToGrid w:val="0"/>
              <w:spacing w:line="300" w:lineRule="atLeast"/>
              <w:jc w:val="center"/>
              <w:rPr>
                <w:color w:val="000000"/>
                <w:kern w:val="0"/>
                <w:sz w:val="18"/>
                <w:szCs w:val="18"/>
              </w:rPr>
            </w:pPr>
          </w:p>
        </w:tc>
        <w:tc>
          <w:tcPr>
            <w:tcW w:w="1128"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定额成本</w:t>
            </w:r>
          </w:p>
          <w:p>
            <w:pPr>
              <w:autoSpaceDE w:val="0"/>
              <w:autoSpaceDN w:val="0"/>
              <w:snapToGrid w:val="0"/>
              <w:spacing w:line="300" w:lineRule="atLeast"/>
              <w:jc w:val="center"/>
              <w:rPr>
                <w:color w:val="000000"/>
                <w:kern w:val="0"/>
                <w:sz w:val="18"/>
                <w:szCs w:val="18"/>
              </w:rPr>
            </w:pPr>
            <w:r>
              <w:rPr>
                <w:color w:val="000000"/>
                <w:kern w:val="0"/>
                <w:sz w:val="18"/>
                <w:szCs w:val="18"/>
              </w:rPr>
              <w:t>系数</w:t>
            </w:r>
          </w:p>
        </w:tc>
        <w:tc>
          <w:tcPr>
            <w:tcW w:w="1200"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标准量</w:t>
            </w:r>
          </w:p>
          <w:p>
            <w:pPr>
              <w:autoSpaceDE w:val="0"/>
              <w:autoSpaceDN w:val="0"/>
              <w:snapToGrid w:val="0"/>
              <w:spacing w:line="300" w:lineRule="atLeast"/>
              <w:jc w:val="center"/>
              <w:rPr>
                <w:color w:val="000000"/>
                <w:kern w:val="0"/>
                <w:sz w:val="18"/>
                <w:szCs w:val="18"/>
              </w:rPr>
            </w:pPr>
          </w:p>
        </w:tc>
        <w:tc>
          <w:tcPr>
            <w:tcW w:w="1046"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直接材料</w:t>
            </w:r>
          </w:p>
          <w:p>
            <w:pPr>
              <w:autoSpaceDE w:val="0"/>
              <w:autoSpaceDN w:val="0"/>
              <w:snapToGrid w:val="0"/>
              <w:spacing w:line="300" w:lineRule="atLeast"/>
              <w:jc w:val="center"/>
              <w:rPr>
                <w:color w:val="000000"/>
                <w:kern w:val="0"/>
                <w:sz w:val="18"/>
                <w:szCs w:val="18"/>
              </w:rPr>
            </w:pPr>
          </w:p>
        </w:tc>
        <w:tc>
          <w:tcPr>
            <w:tcW w:w="1075"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直接人工</w:t>
            </w:r>
          </w:p>
          <w:p>
            <w:pPr>
              <w:autoSpaceDE w:val="0"/>
              <w:autoSpaceDN w:val="0"/>
              <w:snapToGrid w:val="0"/>
              <w:spacing w:line="300" w:lineRule="atLeast"/>
              <w:jc w:val="center"/>
              <w:rPr>
                <w:color w:val="000000"/>
                <w:kern w:val="0"/>
                <w:sz w:val="18"/>
                <w:szCs w:val="18"/>
              </w:rPr>
            </w:pPr>
          </w:p>
        </w:tc>
        <w:tc>
          <w:tcPr>
            <w:tcW w:w="1157" w:type="dxa"/>
            <w:tcBorders>
              <w:top w:val="single" w:color="auto" w:sz="6"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制造费用</w:t>
            </w:r>
          </w:p>
          <w:p>
            <w:pPr>
              <w:autoSpaceDE w:val="0"/>
              <w:autoSpaceDN w:val="0"/>
              <w:snapToGrid w:val="0"/>
              <w:spacing w:line="300" w:lineRule="atLeast"/>
              <w:jc w:val="center"/>
              <w:rPr>
                <w:color w:val="000000"/>
                <w:kern w:val="0"/>
                <w:sz w:val="18"/>
                <w:szCs w:val="18"/>
              </w:rPr>
            </w:pPr>
          </w:p>
        </w:tc>
        <w:tc>
          <w:tcPr>
            <w:tcW w:w="833" w:type="dxa"/>
            <w:tcBorders>
              <w:top w:val="single" w:color="auto" w:sz="6" w:space="0"/>
              <w:left w:val="single" w:color="auto" w:sz="4" w:space="0"/>
              <w:bottom w:val="single" w:color="auto" w:sz="8"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合计</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分配率</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5.7</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0.63</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0.47</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p>
        </w:tc>
      </w:tr>
      <w:tr>
        <w:tblPrEx>
          <w:tblCellMar>
            <w:top w:w="0" w:type="dxa"/>
            <w:left w:w="0" w:type="dxa"/>
            <w:bottom w:w="0" w:type="dxa"/>
            <w:right w:w="0" w:type="dxa"/>
          </w:tblCellMar>
        </w:tblPrEx>
        <w:trPr>
          <w:trHeight w:val="540"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A产品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20000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11400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1260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960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13620</w:t>
            </w: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B产品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10000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10000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57000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6300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4700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68000</w:t>
            </w:r>
          </w:p>
        </w:tc>
      </w:tr>
      <w:tr>
        <w:tblPrEx>
          <w:tblCellMar>
            <w:top w:w="0" w:type="dxa"/>
            <w:left w:w="0" w:type="dxa"/>
            <w:bottom w:w="0" w:type="dxa"/>
            <w:right w:w="0" w:type="dxa"/>
          </w:tblCellMar>
        </w:tblPrEx>
        <w:trPr>
          <w:trHeight w:val="477" w:hRule="atLeast"/>
        </w:trPr>
        <w:tc>
          <w:tcPr>
            <w:tcW w:w="1000" w:type="dxa"/>
            <w:tcBorders>
              <w:top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C产品</w:t>
            </w:r>
          </w:p>
        </w:tc>
        <w:tc>
          <w:tcPr>
            <w:tcW w:w="879"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6000</w:t>
            </w:r>
          </w:p>
        </w:tc>
        <w:tc>
          <w:tcPr>
            <w:tcW w:w="112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w:t>
            </w:r>
          </w:p>
        </w:tc>
        <w:tc>
          <w:tcPr>
            <w:tcW w:w="1200"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18000</w:t>
            </w:r>
          </w:p>
        </w:tc>
        <w:tc>
          <w:tcPr>
            <w:tcW w:w="1046"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102600</w:t>
            </w:r>
          </w:p>
        </w:tc>
        <w:tc>
          <w:tcPr>
            <w:tcW w:w="107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11340</w:t>
            </w:r>
          </w:p>
        </w:tc>
        <w:tc>
          <w:tcPr>
            <w:tcW w:w="1157"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8460</w:t>
            </w:r>
          </w:p>
        </w:tc>
        <w:tc>
          <w:tcPr>
            <w:tcW w:w="833" w:type="dxa"/>
            <w:tcBorders>
              <w:top w:val="single" w:color="auto" w:sz="4" w:space="0"/>
              <w:left w:val="single" w:color="auto" w:sz="4" w:space="0"/>
              <w:bottom w:val="single" w:color="auto" w:sz="8" w:space="0"/>
            </w:tcBorders>
            <w:vAlign w:val="center"/>
          </w:tcPr>
          <w:p>
            <w:pPr>
              <w:autoSpaceDE w:val="0"/>
              <w:autoSpaceDN w:val="0"/>
              <w:jc w:val="center"/>
              <w:rPr>
                <w:kern w:val="0"/>
                <w:sz w:val="24"/>
                <w:szCs w:val="24"/>
              </w:rPr>
            </w:pPr>
            <w:r>
              <w:rPr>
                <w:rFonts w:hint="eastAsia"/>
                <w:kern w:val="0"/>
                <w:sz w:val="24"/>
                <w:szCs w:val="24"/>
              </w:rPr>
              <w:t>122400</w:t>
            </w:r>
          </w:p>
        </w:tc>
      </w:tr>
      <w:tr>
        <w:tblPrEx>
          <w:tblCellMar>
            <w:top w:w="0" w:type="dxa"/>
            <w:left w:w="0" w:type="dxa"/>
            <w:bottom w:w="0" w:type="dxa"/>
            <w:right w:w="0" w:type="dxa"/>
          </w:tblCellMar>
        </w:tblPrEx>
        <w:trPr>
          <w:trHeight w:val="523" w:hRule="atLeast"/>
        </w:trPr>
        <w:tc>
          <w:tcPr>
            <w:tcW w:w="1000" w:type="dxa"/>
            <w:tcBorders>
              <w:top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合计</w:t>
            </w:r>
          </w:p>
        </w:tc>
        <w:tc>
          <w:tcPr>
            <w:tcW w:w="879"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12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p>
        </w:tc>
        <w:tc>
          <w:tcPr>
            <w:tcW w:w="1200"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30000</w:t>
            </w:r>
          </w:p>
        </w:tc>
        <w:tc>
          <w:tcPr>
            <w:tcW w:w="1046"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171000</w:t>
            </w:r>
          </w:p>
        </w:tc>
        <w:tc>
          <w:tcPr>
            <w:tcW w:w="107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18900</w:t>
            </w:r>
          </w:p>
        </w:tc>
        <w:tc>
          <w:tcPr>
            <w:tcW w:w="1157"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kern w:val="0"/>
                <w:sz w:val="24"/>
                <w:szCs w:val="24"/>
              </w:rPr>
            </w:pPr>
            <w:r>
              <w:rPr>
                <w:rFonts w:hint="eastAsia"/>
                <w:kern w:val="0"/>
                <w:sz w:val="24"/>
                <w:szCs w:val="24"/>
              </w:rPr>
              <w:t>14100</w:t>
            </w:r>
          </w:p>
        </w:tc>
        <w:tc>
          <w:tcPr>
            <w:tcW w:w="833" w:type="dxa"/>
            <w:tcBorders>
              <w:top w:val="single" w:color="auto" w:sz="4" w:space="0"/>
              <w:left w:val="single" w:color="auto" w:sz="4" w:space="0"/>
              <w:bottom w:val="single" w:color="auto" w:sz="6" w:space="0"/>
            </w:tcBorders>
            <w:vAlign w:val="center"/>
          </w:tcPr>
          <w:p>
            <w:pPr>
              <w:autoSpaceDE w:val="0"/>
              <w:autoSpaceDN w:val="0"/>
              <w:jc w:val="center"/>
              <w:rPr>
                <w:kern w:val="0"/>
                <w:sz w:val="24"/>
                <w:szCs w:val="24"/>
              </w:rPr>
            </w:pPr>
            <w:r>
              <w:rPr>
                <w:rFonts w:hint="eastAsia"/>
                <w:kern w:val="0"/>
                <w:sz w:val="24"/>
                <w:szCs w:val="24"/>
              </w:rPr>
              <w:t>204000</w:t>
            </w:r>
          </w:p>
        </w:tc>
      </w:tr>
    </w:tbl>
    <w:p>
      <w:pPr>
        <w:rPr>
          <w:rFonts w:ascii="MS Mincho" w:hAnsi="MS Mincho" w:cs="MS Mincho"/>
          <w:sz w:val="24"/>
          <w:szCs w:val="24"/>
        </w:rPr>
      </w:pPr>
    </w:p>
    <w:p>
      <w:pPr>
        <w:rPr>
          <w:rFonts w:hint="default" w:ascii="MS Mincho" w:hAnsi="MS Mincho" w:cs="MS Mincho" w:eastAsiaTheme="minorEastAsia"/>
          <w:sz w:val="24"/>
          <w:szCs w:val="24"/>
          <w:lang w:val="en-US" w:eastAsia="zh-CN"/>
        </w:rPr>
      </w:pPr>
      <w:r>
        <w:rPr>
          <w:rFonts w:hint="eastAsia" w:ascii="MS Mincho" w:hAnsi="MS Mincho" w:cs="MS Mincho"/>
          <w:sz w:val="24"/>
          <w:szCs w:val="24"/>
          <w:lang w:val="en-US" w:eastAsia="zh-CN"/>
        </w:rPr>
        <w:t>41、</w:t>
      </w:r>
    </w:p>
    <w:p>
      <w:pPr>
        <w:ind w:right="105"/>
        <w:jc w:val="center"/>
        <w:rPr>
          <w:color w:val="000000"/>
        </w:rPr>
      </w:pPr>
      <w:r>
        <w:rPr>
          <w:rFonts w:hint="eastAsia"/>
          <w:color w:val="000000"/>
        </w:rPr>
        <w:t>辅助生产费用分配表</w:t>
      </w:r>
    </w:p>
    <w:p>
      <w:pPr>
        <w:ind w:right="105" w:firstLine="3360" w:firstLineChars="1600"/>
        <w:jc w:val="left"/>
        <w:rPr>
          <w:color w:val="000000"/>
        </w:rPr>
      </w:pPr>
      <w:r>
        <w:rPr>
          <w:rFonts w:hint="eastAsia"/>
          <w:color w:val="000000"/>
        </w:rPr>
        <w:t xml:space="preserve">（交互分配法） </w:t>
      </w:r>
    </w:p>
    <w:tbl>
      <w:tblPr>
        <w:tblStyle w:val="4"/>
        <w:tblW w:w="8464" w:type="dxa"/>
        <w:tblInd w:w="15" w:type="dxa"/>
        <w:tblLayout w:type="fixed"/>
        <w:tblCellMar>
          <w:top w:w="0" w:type="dxa"/>
          <w:left w:w="0" w:type="dxa"/>
          <w:bottom w:w="0" w:type="dxa"/>
          <w:right w:w="0" w:type="dxa"/>
        </w:tblCellMar>
      </w:tblPr>
      <w:tblGrid>
        <w:gridCol w:w="727"/>
        <w:gridCol w:w="489"/>
        <w:gridCol w:w="226"/>
        <w:gridCol w:w="720"/>
        <w:gridCol w:w="1291"/>
        <w:gridCol w:w="1085"/>
        <w:gridCol w:w="715"/>
        <w:gridCol w:w="1123"/>
        <w:gridCol w:w="1148"/>
        <w:gridCol w:w="940"/>
      </w:tblGrid>
      <w:tr>
        <w:tblPrEx>
          <w:tblCellMar>
            <w:top w:w="0" w:type="dxa"/>
            <w:left w:w="0" w:type="dxa"/>
            <w:bottom w:w="0" w:type="dxa"/>
            <w:right w:w="0" w:type="dxa"/>
          </w:tblCellMar>
        </w:tblPrEx>
        <w:trPr>
          <w:trHeight w:val="283" w:hRule="atLeast"/>
        </w:trPr>
        <w:tc>
          <w:tcPr>
            <w:tcW w:w="2162" w:type="dxa"/>
            <w:gridSpan w:val="4"/>
            <w:tcBorders>
              <w:top w:val="single" w:color="auto" w:sz="6"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项目</w:t>
            </w:r>
          </w:p>
        </w:tc>
        <w:tc>
          <w:tcPr>
            <w:tcW w:w="3091" w:type="dxa"/>
            <w:gridSpan w:val="3"/>
            <w:tcBorders>
              <w:top w:val="single" w:color="auto" w:sz="6"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交互分配</w:t>
            </w:r>
          </w:p>
        </w:tc>
        <w:tc>
          <w:tcPr>
            <w:tcW w:w="3211" w:type="dxa"/>
            <w:gridSpan w:val="3"/>
            <w:tcBorders>
              <w:top w:val="single" w:color="auto" w:sz="6"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对外分配</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辅助生产车间名称</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供电车间</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机修车间</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合计</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供电车间</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机修车间</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合计</w:t>
            </w:r>
          </w:p>
        </w:tc>
      </w:tr>
      <w:tr>
        <w:tblPrEx>
          <w:tblCellMar>
            <w:top w:w="0" w:type="dxa"/>
            <w:left w:w="0" w:type="dxa"/>
            <w:bottom w:w="0" w:type="dxa"/>
            <w:right w:w="0" w:type="dxa"/>
          </w:tblCellMar>
        </w:tblPrEx>
        <w:trPr>
          <w:trHeight w:val="300"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待分配辅助生产费用</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24000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15000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39000</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23400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15600</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39000</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供应劳务数量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30000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7500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28000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7000</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w:t>
            </w:r>
          </w:p>
        </w:tc>
      </w:tr>
      <w:tr>
        <w:tblPrEx>
          <w:tblCellMar>
            <w:top w:w="0" w:type="dxa"/>
            <w:left w:w="0" w:type="dxa"/>
            <w:bottom w:w="0" w:type="dxa"/>
            <w:right w:w="0" w:type="dxa"/>
          </w:tblCellMar>
        </w:tblPrEx>
        <w:trPr>
          <w:trHeight w:val="297" w:hRule="atLeast"/>
        </w:trPr>
        <w:tc>
          <w:tcPr>
            <w:tcW w:w="2162" w:type="dxa"/>
            <w:gridSpan w:val="4"/>
            <w:tcBorders>
              <w:top w:val="single" w:color="auto" w:sz="4" w:space="0"/>
              <w:left w:val="single" w:color="auto" w:sz="6"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费用分配率</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0.8</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0.84</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jc w:val="center"/>
              <w:rPr>
                <w:kern w:val="0"/>
                <w:sz w:val="24"/>
                <w:szCs w:val="24"/>
              </w:rPr>
            </w:pPr>
            <w:r>
              <w:rPr>
                <w:rFonts w:hint="eastAsia"/>
                <w:kern w:val="0"/>
                <w:sz w:val="24"/>
                <w:szCs w:val="24"/>
              </w:rPr>
              <w:t>2.23</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w:t>
            </w:r>
          </w:p>
        </w:tc>
      </w:tr>
      <w:tr>
        <w:tblPrEx>
          <w:tblCellMar>
            <w:top w:w="0" w:type="dxa"/>
            <w:left w:w="0" w:type="dxa"/>
            <w:bottom w:w="0" w:type="dxa"/>
            <w:right w:w="0" w:type="dxa"/>
          </w:tblCellMar>
        </w:tblPrEx>
        <w:trPr>
          <w:trHeight w:val="590" w:hRule="atLeast"/>
        </w:trPr>
        <w:tc>
          <w:tcPr>
            <w:tcW w:w="727" w:type="dxa"/>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kern w:val="0"/>
                <w:sz w:val="24"/>
                <w:szCs w:val="24"/>
              </w:rPr>
            </w:pPr>
          </w:p>
        </w:tc>
        <w:tc>
          <w:tcPr>
            <w:tcW w:w="715" w:type="dxa"/>
            <w:gridSpan w:val="2"/>
            <w:tcBorders>
              <w:top w:val="single" w:color="auto" w:sz="4" w:space="0"/>
              <w:left w:val="single" w:color="auto" w:sz="4"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供电</w:t>
            </w: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500</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727" w:type="dxa"/>
            <w:tcBorders>
              <w:top w:val="nil"/>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辅助</w:t>
            </w:r>
          </w:p>
          <w:p>
            <w:pPr>
              <w:autoSpaceDE w:val="0"/>
              <w:autoSpaceDN w:val="0"/>
              <w:snapToGrid w:val="0"/>
              <w:spacing w:line="300" w:lineRule="atLeast"/>
              <w:jc w:val="center"/>
              <w:rPr>
                <w:color w:val="000000"/>
                <w:kern w:val="0"/>
                <w:sz w:val="18"/>
                <w:szCs w:val="18"/>
              </w:rPr>
            </w:pPr>
            <w:r>
              <w:rPr>
                <w:color w:val="000000"/>
                <w:kern w:val="0"/>
                <w:sz w:val="18"/>
                <w:szCs w:val="18"/>
              </w:rPr>
              <w:t>生产</w:t>
            </w:r>
          </w:p>
        </w:tc>
        <w:tc>
          <w:tcPr>
            <w:tcW w:w="715" w:type="dxa"/>
            <w:gridSpan w:val="2"/>
            <w:tcBorders>
              <w:top w:val="nil"/>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1000</w:t>
            </w: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727" w:type="dxa"/>
            <w:vMerge w:val="restart"/>
            <w:tcBorders>
              <w:top w:val="nil"/>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r>
              <w:rPr>
                <w:color w:val="000000"/>
                <w:kern w:val="0"/>
                <w:sz w:val="18"/>
                <w:szCs w:val="18"/>
              </w:rPr>
              <w:t>耗用</w:t>
            </w:r>
          </w:p>
        </w:tc>
        <w:tc>
          <w:tcPr>
            <w:tcW w:w="715" w:type="dxa"/>
            <w:gridSpan w:val="2"/>
            <w:tcBorders>
              <w:top w:val="single" w:color="auto" w:sz="4" w:space="0"/>
              <w:left w:val="single" w:color="auto" w:sz="4"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机修</w:t>
            </w: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2000</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7" w:hRule="atLeast"/>
        </w:trPr>
        <w:tc>
          <w:tcPr>
            <w:tcW w:w="727" w:type="dxa"/>
            <w:vMerge w:val="continue"/>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p>
        </w:tc>
        <w:tc>
          <w:tcPr>
            <w:tcW w:w="715" w:type="dxa"/>
            <w:gridSpan w:val="2"/>
            <w:tcBorders>
              <w:top w:val="nil"/>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w:t>
            </w:r>
          </w:p>
          <w:p>
            <w:pPr>
              <w:autoSpaceDE w:val="0"/>
              <w:autoSpaceDN w:val="0"/>
              <w:snapToGrid w:val="0"/>
              <w:spacing w:line="300" w:lineRule="atLeast"/>
              <w:jc w:val="center"/>
              <w:rPr>
                <w:color w:val="000000"/>
                <w:kern w:val="0"/>
                <w:sz w:val="18"/>
                <w:szCs w:val="18"/>
              </w:rPr>
            </w:pPr>
          </w:p>
        </w:tc>
        <w:tc>
          <w:tcPr>
            <w:tcW w:w="720"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1600</w:t>
            </w: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基本生产</w:t>
            </w: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25000</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4500</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0" w:hRule="atLeast"/>
        </w:trPr>
        <w:tc>
          <w:tcPr>
            <w:tcW w:w="1216" w:type="dxa"/>
            <w:gridSpan w:val="2"/>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车间耗用</w:t>
            </w:r>
          </w:p>
          <w:p>
            <w:pPr>
              <w:autoSpaceDE w:val="0"/>
              <w:autoSpaceDN w:val="0"/>
              <w:snapToGrid w:val="0"/>
              <w:spacing w:line="300" w:lineRule="atLeast"/>
              <w:jc w:val="center"/>
              <w:rPr>
                <w:color w:val="000000"/>
                <w:kern w:val="0"/>
                <w:sz w:val="18"/>
                <w:szCs w:val="18"/>
              </w:rPr>
            </w:pP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21000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10035</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31035</w:t>
            </w:r>
          </w:p>
        </w:tc>
      </w:tr>
      <w:tr>
        <w:tblPrEx>
          <w:tblCellMar>
            <w:top w:w="0" w:type="dxa"/>
            <w:left w:w="0" w:type="dxa"/>
            <w:bottom w:w="0" w:type="dxa"/>
            <w:right w:w="0" w:type="dxa"/>
          </w:tblCellMar>
        </w:tblPrEx>
        <w:trPr>
          <w:trHeight w:val="580" w:hRule="atLeast"/>
        </w:trPr>
        <w:tc>
          <w:tcPr>
            <w:tcW w:w="1216" w:type="dxa"/>
            <w:gridSpan w:val="2"/>
            <w:tcBorders>
              <w:top w:val="single" w:color="auto" w:sz="4" w:space="0"/>
              <w:left w:val="single" w:color="auto" w:sz="6" w:space="0"/>
              <w:bottom w:val="nil"/>
              <w:right w:val="single" w:color="auto" w:sz="4" w:space="0"/>
            </w:tcBorders>
            <w:vAlign w:val="center"/>
          </w:tcPr>
          <w:p>
            <w:pPr>
              <w:autoSpaceDE w:val="0"/>
              <w:autoSpaceDN w:val="0"/>
              <w:snapToGrid w:val="0"/>
              <w:spacing w:line="300" w:lineRule="atLeast"/>
              <w:jc w:val="center"/>
              <w:rPr>
                <w:color w:val="000000"/>
                <w:kern w:val="0"/>
                <w:sz w:val="18"/>
                <w:szCs w:val="18"/>
              </w:rPr>
            </w:pPr>
          </w:p>
          <w:p>
            <w:pPr>
              <w:autoSpaceDE w:val="0"/>
              <w:autoSpaceDN w:val="0"/>
              <w:snapToGrid w:val="0"/>
              <w:spacing w:line="300" w:lineRule="atLeast"/>
              <w:jc w:val="center"/>
              <w:rPr>
                <w:color w:val="000000"/>
                <w:kern w:val="0"/>
                <w:sz w:val="18"/>
                <w:szCs w:val="18"/>
              </w:rPr>
            </w:pPr>
            <w:r>
              <w:rPr>
                <w:color w:val="000000"/>
                <w:kern w:val="0"/>
                <w:sz w:val="18"/>
                <w:szCs w:val="18"/>
              </w:rPr>
              <w:t>行政管理</w:t>
            </w: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耗用</w:t>
            </w:r>
          </w:p>
          <w:p>
            <w:pPr>
              <w:autoSpaceDE w:val="0"/>
              <w:autoSpaceDN w:val="0"/>
              <w:snapToGrid w:val="0"/>
              <w:spacing w:line="300" w:lineRule="atLeast"/>
              <w:jc w:val="center"/>
              <w:rPr>
                <w:color w:val="000000"/>
                <w:kern w:val="0"/>
                <w:sz w:val="18"/>
                <w:szCs w:val="18"/>
              </w:rPr>
            </w:pPr>
            <w:r>
              <w:rPr>
                <w:color w:val="000000"/>
                <w:kern w:val="0"/>
                <w:sz w:val="18"/>
                <w:szCs w:val="18"/>
              </w:rPr>
              <w:t>数量</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3000</w:t>
            </w:r>
          </w:p>
          <w:p>
            <w:pPr>
              <w:autoSpaceDE w:val="0"/>
              <w:autoSpaceDN w:val="0"/>
              <w:snapToGrid w:val="0"/>
              <w:spacing w:line="300" w:lineRule="atLeast"/>
              <w:jc w:val="center"/>
              <w:rPr>
                <w:color w:val="000000"/>
                <w:kern w:val="0"/>
                <w:sz w:val="18"/>
                <w:szCs w:val="18"/>
              </w:rPr>
            </w:pP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2500</w:t>
            </w:r>
          </w:p>
          <w:p>
            <w:pPr>
              <w:autoSpaceDE w:val="0"/>
              <w:autoSpaceDN w:val="0"/>
              <w:snapToGrid w:val="0"/>
              <w:spacing w:line="300" w:lineRule="atLeast"/>
              <w:jc w:val="center"/>
              <w:rPr>
                <w:color w:val="000000"/>
                <w:kern w:val="0"/>
                <w:sz w:val="18"/>
                <w:szCs w:val="18"/>
              </w:rPr>
            </w:pP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r>
      <w:tr>
        <w:tblPrEx>
          <w:tblCellMar>
            <w:top w:w="0" w:type="dxa"/>
            <w:left w:w="0" w:type="dxa"/>
            <w:bottom w:w="0" w:type="dxa"/>
            <w:right w:w="0" w:type="dxa"/>
          </w:tblCellMar>
        </w:tblPrEx>
        <w:trPr>
          <w:trHeight w:val="595" w:hRule="atLeast"/>
        </w:trPr>
        <w:tc>
          <w:tcPr>
            <w:tcW w:w="1216" w:type="dxa"/>
            <w:gridSpan w:val="2"/>
            <w:tcBorders>
              <w:top w:val="nil"/>
              <w:left w:val="single" w:color="auto" w:sz="6"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部门耗用</w:t>
            </w:r>
          </w:p>
          <w:p>
            <w:pPr>
              <w:autoSpaceDE w:val="0"/>
              <w:autoSpaceDN w:val="0"/>
              <w:snapToGrid w:val="0"/>
              <w:spacing w:line="300" w:lineRule="atLeast"/>
              <w:jc w:val="center"/>
              <w:rPr>
                <w:color w:val="000000"/>
                <w:kern w:val="0"/>
                <w:sz w:val="18"/>
                <w:szCs w:val="18"/>
              </w:rPr>
            </w:pPr>
          </w:p>
        </w:tc>
        <w:tc>
          <w:tcPr>
            <w:tcW w:w="946" w:type="dxa"/>
            <w:gridSpan w:val="2"/>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分配</w:t>
            </w:r>
          </w:p>
          <w:p>
            <w:pPr>
              <w:autoSpaceDE w:val="0"/>
              <w:autoSpaceDN w:val="0"/>
              <w:snapToGrid w:val="0"/>
              <w:spacing w:line="300" w:lineRule="atLeast"/>
              <w:jc w:val="center"/>
              <w:rPr>
                <w:color w:val="000000"/>
                <w:kern w:val="0"/>
                <w:sz w:val="18"/>
                <w:szCs w:val="18"/>
              </w:rPr>
            </w:pPr>
            <w:r>
              <w:rPr>
                <w:color w:val="000000"/>
                <w:kern w:val="0"/>
                <w:sz w:val="18"/>
                <w:szCs w:val="18"/>
              </w:rPr>
              <w:t>金额</w:t>
            </w:r>
          </w:p>
        </w:tc>
        <w:tc>
          <w:tcPr>
            <w:tcW w:w="1291"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08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715"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color w:val="000000"/>
                <w:kern w:val="0"/>
                <w:sz w:val="18"/>
                <w:szCs w:val="18"/>
              </w:rPr>
            </w:pPr>
            <w:r>
              <w:rPr>
                <w:color w:val="000000"/>
                <w:kern w:val="0"/>
                <w:sz w:val="18"/>
                <w:szCs w:val="18"/>
              </w:rPr>
              <w:t>×</w:t>
            </w:r>
          </w:p>
          <w:p>
            <w:pPr>
              <w:autoSpaceDE w:val="0"/>
              <w:autoSpaceDN w:val="0"/>
              <w:snapToGrid w:val="0"/>
              <w:spacing w:line="300" w:lineRule="atLeast"/>
              <w:jc w:val="center"/>
              <w:rPr>
                <w:color w:val="000000"/>
                <w:kern w:val="0"/>
                <w:sz w:val="18"/>
                <w:szCs w:val="18"/>
              </w:rPr>
            </w:pPr>
          </w:p>
        </w:tc>
        <w:tc>
          <w:tcPr>
            <w:tcW w:w="1123"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2400</w:t>
            </w:r>
          </w:p>
        </w:tc>
        <w:tc>
          <w:tcPr>
            <w:tcW w:w="1148" w:type="dxa"/>
            <w:tcBorders>
              <w:top w:val="single" w:color="auto" w:sz="4" w:space="0"/>
              <w:left w:val="single" w:color="auto" w:sz="4" w:space="0"/>
              <w:bottom w:val="single" w:color="auto" w:sz="8" w:space="0"/>
              <w:right w:val="single" w:color="auto" w:sz="4"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5565</w:t>
            </w:r>
          </w:p>
        </w:tc>
        <w:tc>
          <w:tcPr>
            <w:tcW w:w="940" w:type="dxa"/>
            <w:tcBorders>
              <w:top w:val="single" w:color="auto" w:sz="4" w:space="0"/>
              <w:left w:val="single" w:color="auto" w:sz="4" w:space="0"/>
              <w:bottom w:val="single" w:color="auto" w:sz="8" w:space="0"/>
              <w:right w:val="single" w:color="auto" w:sz="6" w:space="0"/>
            </w:tcBorders>
            <w:vAlign w:val="center"/>
          </w:tcPr>
          <w:p>
            <w:pPr>
              <w:autoSpaceDE w:val="0"/>
              <w:autoSpaceDN w:val="0"/>
              <w:snapToGrid w:val="0"/>
              <w:spacing w:line="300" w:lineRule="atLeast"/>
              <w:jc w:val="center"/>
              <w:rPr>
                <w:kern w:val="0"/>
                <w:sz w:val="24"/>
                <w:szCs w:val="24"/>
              </w:rPr>
            </w:pPr>
            <w:r>
              <w:rPr>
                <w:rFonts w:hint="eastAsia"/>
                <w:kern w:val="0"/>
                <w:sz w:val="24"/>
                <w:szCs w:val="24"/>
              </w:rPr>
              <w:t>7965</w:t>
            </w:r>
          </w:p>
        </w:tc>
      </w:tr>
      <w:tr>
        <w:tblPrEx>
          <w:tblCellMar>
            <w:top w:w="0" w:type="dxa"/>
            <w:left w:w="0" w:type="dxa"/>
            <w:bottom w:w="0" w:type="dxa"/>
            <w:right w:w="0" w:type="dxa"/>
          </w:tblCellMar>
        </w:tblPrEx>
        <w:trPr>
          <w:trHeight w:val="360" w:hRule="atLeast"/>
        </w:trPr>
        <w:tc>
          <w:tcPr>
            <w:tcW w:w="2162" w:type="dxa"/>
            <w:gridSpan w:val="4"/>
            <w:tcBorders>
              <w:top w:val="single" w:color="auto" w:sz="4" w:space="0"/>
              <w:left w:val="single" w:color="auto" w:sz="6"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分配金额合计</w:t>
            </w:r>
          </w:p>
        </w:tc>
        <w:tc>
          <w:tcPr>
            <w:tcW w:w="1291"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08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715"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23"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1148" w:type="dxa"/>
            <w:tcBorders>
              <w:top w:val="single" w:color="auto" w:sz="4" w:space="0"/>
              <w:left w:val="single" w:color="auto" w:sz="4" w:space="0"/>
              <w:bottom w:val="single" w:color="auto" w:sz="6" w:space="0"/>
              <w:right w:val="single" w:color="auto" w:sz="4" w:space="0"/>
            </w:tcBorders>
            <w:vAlign w:val="center"/>
          </w:tcPr>
          <w:p>
            <w:pPr>
              <w:autoSpaceDE w:val="0"/>
              <w:autoSpaceDN w:val="0"/>
              <w:jc w:val="center"/>
              <w:rPr>
                <w:color w:val="000000"/>
                <w:kern w:val="0"/>
                <w:sz w:val="18"/>
                <w:szCs w:val="18"/>
              </w:rPr>
            </w:pPr>
            <w:r>
              <w:rPr>
                <w:color w:val="000000"/>
                <w:kern w:val="0"/>
                <w:sz w:val="18"/>
                <w:szCs w:val="18"/>
              </w:rPr>
              <w:t>×</w:t>
            </w:r>
          </w:p>
        </w:tc>
        <w:tc>
          <w:tcPr>
            <w:tcW w:w="940" w:type="dxa"/>
            <w:tcBorders>
              <w:top w:val="single" w:color="auto" w:sz="4" w:space="0"/>
              <w:left w:val="single" w:color="auto" w:sz="4" w:space="0"/>
              <w:bottom w:val="single" w:color="auto" w:sz="6" w:space="0"/>
              <w:right w:val="single" w:color="auto" w:sz="6" w:space="0"/>
            </w:tcBorders>
            <w:vAlign w:val="center"/>
          </w:tcPr>
          <w:p>
            <w:pPr>
              <w:autoSpaceDE w:val="0"/>
              <w:autoSpaceDN w:val="0"/>
              <w:jc w:val="center"/>
              <w:rPr>
                <w:color w:val="000000"/>
                <w:kern w:val="0"/>
                <w:sz w:val="18"/>
                <w:szCs w:val="18"/>
              </w:rPr>
            </w:pPr>
            <w:r>
              <w:rPr>
                <w:color w:val="000000"/>
                <w:kern w:val="0"/>
                <w:sz w:val="18"/>
                <w:szCs w:val="18"/>
              </w:rPr>
              <w:t>39000</w:t>
            </w:r>
          </w:p>
        </w:tc>
      </w:tr>
    </w:tbl>
    <w:p>
      <w:pPr>
        <w:rPr>
          <w:rFonts w:hint="eastAsia" w:ascii="MS Mincho" w:hAnsi="MS Mincho" w:cs="MS Mincho"/>
          <w:sz w:val="24"/>
          <w:szCs w:val="24"/>
        </w:rPr>
      </w:pPr>
    </w:p>
    <w:p>
      <w:pPr>
        <w:rPr>
          <w:rFonts w:ascii="MS Mincho" w:hAnsi="MS Mincho" w:cs="MS Mincho"/>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37B86"/>
    <w:multiLevelType w:val="singleLevel"/>
    <w:tmpl w:val="F6F37B8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2512D8"/>
    <w:rsid w:val="002512D8"/>
    <w:rsid w:val="00447D51"/>
    <w:rsid w:val="00604481"/>
    <w:rsid w:val="00815D8F"/>
    <w:rsid w:val="008918E0"/>
    <w:rsid w:val="09DE4A06"/>
    <w:rsid w:val="47D93B3C"/>
    <w:rsid w:val="536D067E"/>
    <w:rsid w:val="5B6522A8"/>
    <w:rsid w:val="5FA77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4225</Words>
  <Characters>4965</Characters>
  <Lines>18</Lines>
  <Paragraphs>5</Paragraphs>
  <TotalTime>3</TotalTime>
  <ScaleCrop>false</ScaleCrop>
  <LinksUpToDate>false</LinksUpToDate>
  <CharactersWithSpaces>6234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2017-09-23T23:41:00Z</dcterms:created>
  <dc:creator>微软用户</dc:creator>
  <cp:lastModifiedBy>Administrator</cp:lastModifiedBy>
  <dcterms:modified xsi:type="dcterms:W3CDTF">2022-12-11T06:45:59Z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8A24ADAC1B484C51B1D84DA50B252A2D</vt:lpwstr>
  </property>
</Properties>
</file>