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40" w:firstLineChars="300"/>
        <w:rPr>
          <w:rFonts w:hint="eastAsia" w:asciiTheme="minorEastAsia" w:hAnsiTheme="minorEastAsia" w:eastAsiaTheme="minorEastAsia" w:cstheme="minorEastAsia"/>
          <w:bCs/>
          <w:sz w:val="18"/>
          <w:szCs w:val="18"/>
        </w:rPr>
      </w:pPr>
      <w:r>
        <w:rPr>
          <w:rFonts w:hint="eastAsia" w:ascii="Times New Roman" w:hAnsi="Times New Roman" w:eastAsia="仿宋_GB2312" w:cs="Times New Roman"/>
          <w:bCs/>
          <w:sz w:val="18"/>
          <w:szCs w:val="18"/>
          <w:u w:val="single"/>
          <w:lang w:val="en-US" w:eastAsia="zh-CN"/>
        </w:rPr>
        <w:t>旅游市场营销复习资料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18"/>
          <w:szCs w:val="18"/>
          <w:lang w:eastAsia="zh-CN"/>
        </w:rPr>
      </w:pPr>
      <w:r>
        <w:rPr>
          <w:rFonts w:hint="eastAsia" w:ascii="黑体" w:hAnsi="黑体" w:eastAsia="黑体" w:cs="黑体"/>
          <w:bCs/>
          <w:sz w:val="18"/>
          <w:szCs w:val="18"/>
        </w:rPr>
        <w:t>单项选择题</w:t>
      </w:r>
      <w:r>
        <w:rPr>
          <w:rFonts w:hint="eastAsia" w:asciiTheme="minorEastAsia" w:hAnsiTheme="minorEastAsia" w:eastAsiaTheme="minorEastAsia" w:cstheme="minorEastAsia"/>
          <w:sz w:val="18"/>
          <w:szCs w:val="18"/>
          <w:lang w:val="en-US" w:eastAsia="zh-CN"/>
        </w:rPr>
        <w:t>1.</w:t>
      </w:r>
      <w:r>
        <w:rPr>
          <w:rFonts w:hint="eastAsia" w:asciiTheme="minorEastAsia" w:hAnsiTheme="minorEastAsia" w:eastAsiaTheme="minorEastAsia" w:cstheme="minorEastAsia"/>
          <w:color w:val="auto"/>
          <w:sz w:val="18"/>
          <w:szCs w:val="18"/>
        </w:rPr>
        <w:t>现有产品和现有市场的组合是</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A 市场渗透</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产品开发</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市场开发</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多角化经营</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被西方理论界誉为“对传统营销理念的一次革命”的是</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200"/>
        <w:textAlignment w:val="auto"/>
        <w:rPr>
          <w:rFonts w:hint="eastAsia"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rPr>
        <w:t>A 旅游关系营销</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旅游绿色营销</w:t>
      </w:r>
      <w:r>
        <w:rPr>
          <w:rFonts w:hint="eastAsia" w:asciiTheme="minorEastAsia" w:hAnsiTheme="minorEastAsia" w:eastAsiaTheme="minorEastAsia" w:cstheme="minorEastAsia"/>
          <w:color w:val="auto"/>
          <w:sz w:val="18"/>
          <w:szCs w:val="1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200"/>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C 旅游服务营销</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旅游网络营</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定量分析旅游产品的市场生命，区分旅游产品生命周期的各阶段的是</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A 企业生产能力</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产品销售额对时间的弹性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360" w:firstLineChars="200"/>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C 企业盈利能力</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产品创新能力</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承德的市场定位是中国最大的皇家园林，避暑胜地。用定位方法是</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A 特色定位</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垄断定位</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使用者定位</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竞争定位</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企业所拥有产品线的数量被称作</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180" w:firstLineChars="100"/>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A 产品项目</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产品组合宽度</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产品组合深度</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关联度</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企业产品生命周期阶段划分的依据是</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A 产品销售对时间的弹性</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企业的生产能力</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w w:val="99"/>
          <w:sz w:val="18"/>
          <w:szCs w:val="18"/>
        </w:rPr>
      </w:pP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企业的盈利能力</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w w:val="99"/>
          <w:sz w:val="18"/>
          <w:szCs w:val="18"/>
        </w:rPr>
        <w:t>D 产品的创新能力</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影响旅游消费的主要因素是</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200"/>
        <w:textAlignment w:val="auto"/>
        <w:rPr>
          <w:rFonts w:hint="eastAsia"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rPr>
        <w:t>A 个人收入</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家庭收入</w:t>
      </w:r>
      <w:r>
        <w:rPr>
          <w:rFonts w:hint="eastAsia" w:asciiTheme="minorEastAsia" w:hAnsiTheme="minorEastAsia" w:eastAsiaTheme="minorEastAsia" w:cstheme="minorEastAsia"/>
          <w:color w:val="auto"/>
          <w:sz w:val="18"/>
          <w:szCs w:val="1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200"/>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C 个人可支配收入</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个人可随意支配收入</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rPr>
        <w:t>旅游促销的实质就是要实现旅游营销者和旅游产品潜在购买者之间的</w:t>
      </w:r>
      <w:r>
        <w:rPr>
          <w:rFonts w:hint="eastAsia" w:asciiTheme="minorEastAsia" w:hAnsiTheme="minorEastAsia" w:eastAsiaTheme="minorEastAsia" w:cstheme="minorEastAsia"/>
          <w:color w:val="auto"/>
          <w:sz w:val="18"/>
          <w:szCs w:val="18"/>
          <w:lang w:val="en-US" w:eastAsia="zh-CN"/>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600"/>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A 交换</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交流</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沟通</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反馈</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利用现有产品，争取在现有市场上增加销售量，扩大市场份额的一种策略，称作</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A 市场渗透</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产品开发</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市场开发</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多角化经营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黑体" w:hAnsi="黑体" w:eastAsia="黑体" w:cs="黑体"/>
          <w:color w:val="auto"/>
          <w:sz w:val="18"/>
          <w:szCs w:val="18"/>
          <w:lang w:val="en-US" w:eastAsia="zh-CN"/>
        </w:rPr>
      </w:pPr>
      <w:r>
        <w:rPr>
          <w:rFonts w:hint="eastAsia" w:ascii="黑体" w:hAnsi="黑体" w:eastAsia="黑体" w:cs="黑体"/>
          <w:color w:val="auto"/>
          <w:sz w:val="18"/>
          <w:szCs w:val="18"/>
          <w:lang w:val="en-US" w:eastAsia="zh-CN"/>
        </w:rPr>
        <w:t>多项选择题</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属于心理定价策略的有</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0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A 尾数定价策略</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整数定价策略</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分等级低价策略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0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D 声望定价策略</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E 招徕定价策略</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旅游营业推广方式有</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A 免费营业推广</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优惠营业推广</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竞赛营业推广</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组合营业推广</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E 人员营业推广</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属于旅游企业定性预测的有</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A 经营管理里人员意见调查预测法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20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B 销售人员意见调查预测法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20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C 旅游交易会、博览会调查预测法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20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D 旅游消费者购买细想调查预测法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20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E 专家评估法—德尔菲预测法</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市场营销学认为，市场包含哪三个要素</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60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A 人口</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需求</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购买力</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D 效用</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E 购买动机</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按照不同的广告目标，可将广告分为</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A 通知广告</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B 劝说广告</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C 提醒广告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60" w:firstLineChars="20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D 商议广告</w:t>
      </w:r>
      <w:r>
        <w:rPr>
          <w:rFonts w:hint="eastAsia" w:asciiTheme="minorEastAsia" w:hAnsiTheme="minorEastAsia" w:eastAsiaTheme="minorEastAsia" w:cstheme="minorEastAsia"/>
          <w:color w:val="auto"/>
          <w:sz w:val="18"/>
          <w:szCs w:val="18"/>
          <w:lang w:val="en-US" w:eastAsia="zh-CN"/>
        </w:rPr>
        <w:t xml:space="preserve">    </w:t>
      </w:r>
      <w:r>
        <w:rPr>
          <w:rFonts w:hint="eastAsia" w:asciiTheme="minorEastAsia" w:hAnsiTheme="minorEastAsia" w:eastAsiaTheme="minorEastAsia" w:cstheme="minorEastAsia"/>
          <w:color w:val="auto"/>
          <w:sz w:val="18"/>
          <w:szCs w:val="18"/>
        </w:rPr>
        <w:t>E 赞助广告</w:t>
      </w:r>
    </w:p>
    <w:p>
      <w:pPr>
        <w:keepNext w:val="0"/>
        <w:keepLines w:val="0"/>
        <w:pageBreakBefore w:val="0"/>
        <w:widowControl w:val="0"/>
        <w:numPr>
          <w:numId w:val="0"/>
        </w:numPr>
        <w:kinsoku/>
        <w:wordWrap/>
        <w:overflowPunct/>
        <w:topLinePunct w:val="0"/>
        <w:autoSpaceDE/>
        <w:autoSpaceDN/>
        <w:bidi w:val="0"/>
        <w:adjustRightInd/>
        <w:snapToGrid/>
        <w:spacing w:line="400" w:lineRule="exact"/>
        <w:ind w:leftChars="0"/>
        <w:jc w:val="both"/>
        <w:textAlignment w:val="auto"/>
        <w:rPr>
          <w:rFonts w:hint="eastAsia" w:ascii="黑体" w:hAnsi="黑体" w:eastAsia="黑体" w:cs="黑体"/>
          <w:color w:val="auto"/>
          <w:sz w:val="18"/>
          <w:szCs w:val="18"/>
          <w:lang w:val="en-US" w:eastAsia="zh-CN"/>
        </w:rPr>
      </w:pPr>
      <w:r>
        <w:rPr>
          <w:rFonts w:hint="eastAsia" w:ascii="黑体" w:hAnsi="黑体" w:eastAsia="黑体" w:cs="黑体"/>
          <w:color w:val="auto"/>
          <w:sz w:val="18"/>
          <w:szCs w:val="18"/>
          <w:lang w:val="en-US" w:eastAsia="zh-CN"/>
        </w:rPr>
        <w:t>名词解释</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旅游绿色营销观念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color w:val="auto"/>
          <w:sz w:val="18"/>
          <w:szCs w:val="18"/>
        </w:rPr>
      </w:pP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Chars="0"/>
        <w:jc w:val="both"/>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旅游代理商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3、旅游促销</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4、市场细分</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after="0" w:line="400" w:lineRule="exact"/>
        <w:ind w:leftChars="0"/>
        <w:jc w:val="both"/>
        <w:textAlignment w:val="auto"/>
        <w:rPr>
          <w:rFonts w:hint="eastAsia" w:ascii="黑体" w:hAnsi="黑体" w:eastAsia="黑体" w:cs="黑体"/>
          <w:color w:val="auto"/>
          <w:sz w:val="18"/>
          <w:szCs w:val="18"/>
          <w:lang w:val="en-US" w:eastAsia="zh-CN"/>
        </w:rPr>
      </w:pPr>
      <w:r>
        <w:rPr>
          <w:rFonts w:hint="eastAsia" w:ascii="黑体" w:hAnsi="黑体" w:eastAsia="黑体" w:cs="黑体"/>
          <w:color w:val="auto"/>
          <w:sz w:val="18"/>
          <w:szCs w:val="18"/>
          <w:lang w:val="en-US" w:eastAsia="zh-CN"/>
        </w:rPr>
        <w:t>简答题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1、简述旅游产品定价的目标。</w:t>
      </w:r>
      <w:r>
        <w:rPr>
          <w:rFonts w:hint="eastAsia" w:asciiTheme="minorEastAsia" w:hAnsiTheme="minorEastAsia" w:cstheme="minorEastAsia"/>
          <w:color w:val="auto"/>
          <w:sz w:val="18"/>
          <w:szCs w:val="18"/>
          <w:lang w:eastAsia="zh-CN"/>
        </w:rPr>
        <w:t>（</w:t>
      </w:r>
      <w:r>
        <w:rPr>
          <w:rFonts w:hint="eastAsia" w:asciiTheme="minorEastAsia" w:hAnsiTheme="minorEastAsia" w:cstheme="minorEastAsia"/>
          <w:color w:val="auto"/>
          <w:sz w:val="18"/>
          <w:szCs w:val="18"/>
          <w:lang w:val="en-US" w:eastAsia="zh-CN"/>
        </w:rPr>
        <w:t>8分</w:t>
      </w:r>
      <w:r>
        <w:rPr>
          <w:rFonts w:hint="eastAsia" w:asciiTheme="minorEastAsia" w:hAnsi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2、简述现代旅游产品的发展趋势。</w:t>
      </w:r>
      <w:r>
        <w:rPr>
          <w:rFonts w:hint="eastAsia" w:asciiTheme="minorEastAsia" w:hAnsiTheme="minorEastAsia" w:cstheme="minorEastAsia"/>
          <w:color w:val="auto"/>
          <w:sz w:val="18"/>
          <w:szCs w:val="18"/>
          <w:lang w:eastAsia="zh-CN"/>
        </w:rPr>
        <w:t>（</w:t>
      </w:r>
      <w:r>
        <w:rPr>
          <w:rFonts w:hint="eastAsia" w:asciiTheme="minorEastAsia" w:hAnsiTheme="minorEastAsia" w:cstheme="minorEastAsia"/>
          <w:color w:val="auto"/>
          <w:sz w:val="18"/>
          <w:szCs w:val="18"/>
          <w:lang w:val="en-US" w:eastAsia="zh-CN"/>
        </w:rPr>
        <w:t>8分</w:t>
      </w:r>
      <w:r>
        <w:rPr>
          <w:rFonts w:hint="eastAsia" w:asciiTheme="minorEastAsia" w:hAnsiTheme="minorEastAsia" w:cstheme="minorEastAsia"/>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after="0" w:line="400" w:lineRule="exact"/>
        <w:ind w:leftChars="0"/>
        <w:jc w:val="both"/>
        <w:textAlignment w:val="auto"/>
        <w:rPr>
          <w:rFonts w:hint="eastAsia" w:ascii="黑体" w:hAnsi="黑体" w:eastAsia="黑体" w:cs="黑体"/>
          <w:color w:val="auto"/>
          <w:sz w:val="18"/>
          <w:szCs w:val="18"/>
          <w:lang w:val="en-US" w:eastAsia="zh-CN"/>
        </w:rPr>
      </w:pPr>
      <w:r>
        <w:rPr>
          <w:rFonts w:hint="eastAsia" w:ascii="黑体" w:hAnsi="黑体" w:eastAsia="黑体" w:cs="黑体"/>
          <w:color w:val="auto"/>
          <w:sz w:val="18"/>
          <w:szCs w:val="18"/>
          <w:lang w:val="en-US" w:eastAsia="zh-CN"/>
        </w:rPr>
        <w:t>论述题</w:t>
      </w:r>
    </w:p>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1、论述旅游市场营销微观环境分析。</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Theme="minorEastAsia" w:hAnsiTheme="minorEastAsia" w:eastAsiaTheme="minorEastAsia" w:cstheme="minorEastAsia"/>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default" w:ascii="宋体" w:hAnsi="宋体" w:eastAsia="宋体" w:cs="宋体"/>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参考答案</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ascii="Helvetica" w:hAnsi="Helvetica" w:eastAsia="Helvetica" w:cs="Helvetica"/>
          <w:color w:val="auto"/>
          <w:sz w:val="18"/>
          <w:szCs w:val="18"/>
        </w:rPr>
      </w:pPr>
      <w:r>
        <w:rPr>
          <w:rFonts w:hint="eastAsia" w:ascii="宋体" w:hAnsi="宋体" w:eastAsia="宋体" w:cs="宋体"/>
          <w:color w:val="auto"/>
          <w:sz w:val="18"/>
          <w:szCs w:val="18"/>
          <w:lang w:val="en-US" w:eastAsia="zh-CN"/>
        </w:rPr>
        <w:t>一选择题</w:t>
      </w:r>
      <w:r>
        <w:rPr>
          <w:rFonts w:ascii="Helvetica" w:hAnsi="Helvetica" w:eastAsia="Helvetica" w:cs="Helvetica"/>
          <w:color w:val="auto"/>
          <w:sz w:val="18"/>
          <w:szCs w:val="18"/>
        </w:rPr>
        <w:t>A</w:t>
      </w:r>
      <w:r>
        <w:rPr>
          <w:rFonts w:ascii="Helvetica" w:hAnsi="Helvetica" w:eastAsia="Helvetica" w:cs="Helvetica"/>
          <w:color w:val="auto"/>
          <w:sz w:val="18"/>
          <w:szCs w:val="18"/>
        </w:rPr>
        <w:tab/>
      </w:r>
      <w:r>
        <w:rPr>
          <w:rFonts w:ascii="Helvetica" w:hAnsi="Helvetica" w:eastAsia="Helvetica" w:cs="Helvetica"/>
          <w:color w:val="auto"/>
          <w:sz w:val="18"/>
          <w:szCs w:val="18"/>
        </w:rPr>
        <w:t>A</w:t>
      </w:r>
      <w:r>
        <w:rPr>
          <w:rFonts w:ascii="Helvetica" w:hAnsi="Helvetica" w:eastAsia="Helvetica" w:cs="Helvetica"/>
          <w:color w:val="auto"/>
          <w:sz w:val="18"/>
          <w:szCs w:val="18"/>
        </w:rPr>
        <w:tab/>
      </w:r>
      <w:r>
        <w:rPr>
          <w:rFonts w:ascii="Helvetica" w:hAnsi="Helvetica" w:eastAsia="Helvetica" w:cs="Helvetica"/>
          <w:color w:val="auto"/>
          <w:sz w:val="18"/>
          <w:szCs w:val="18"/>
        </w:rPr>
        <w:t>B</w:t>
      </w:r>
      <w:r>
        <w:rPr>
          <w:rFonts w:ascii="Helvetica" w:hAnsi="Helvetica" w:eastAsia="Helvetica" w:cs="Helvetica"/>
          <w:color w:val="auto"/>
          <w:sz w:val="18"/>
          <w:szCs w:val="18"/>
        </w:rPr>
        <w:tab/>
      </w:r>
      <w:r>
        <w:rPr>
          <w:rFonts w:ascii="Helvetica" w:hAnsi="Helvetica" w:eastAsia="Helvetica" w:cs="Helvetica"/>
          <w:color w:val="auto"/>
          <w:sz w:val="18"/>
          <w:szCs w:val="18"/>
        </w:rPr>
        <w:t>B</w:t>
      </w:r>
      <w:r>
        <w:rPr>
          <w:rFonts w:ascii="Helvetica" w:hAnsi="Helvetica" w:eastAsia="Helvetica" w:cs="Helvetica"/>
          <w:color w:val="auto"/>
          <w:sz w:val="18"/>
          <w:szCs w:val="18"/>
        </w:rPr>
        <w:tab/>
      </w:r>
      <w:r>
        <w:rPr>
          <w:rFonts w:ascii="Helvetica" w:hAnsi="Helvetica" w:eastAsia="Helvetica" w:cs="Helvetica"/>
          <w:color w:val="auto"/>
          <w:sz w:val="18"/>
          <w:szCs w:val="18"/>
        </w:rPr>
        <w:t>B</w:t>
      </w:r>
      <w:r>
        <w:rPr>
          <w:rFonts w:ascii="Helvetica" w:hAnsi="Helvetica" w:eastAsia="Helvetica" w:cs="Helvetica"/>
          <w:color w:val="auto"/>
          <w:sz w:val="18"/>
          <w:szCs w:val="18"/>
        </w:rPr>
        <w:tab/>
      </w:r>
      <w:r>
        <w:rPr>
          <w:rFonts w:ascii="Helvetica" w:hAnsi="Helvetica" w:eastAsia="Helvetica" w:cs="Helvetica"/>
          <w:color w:val="auto"/>
          <w:sz w:val="18"/>
          <w:szCs w:val="18"/>
        </w:rPr>
        <w:t>A</w:t>
      </w:r>
      <w:r>
        <w:rPr>
          <w:rFonts w:ascii="Helvetica" w:hAnsi="Helvetica" w:eastAsia="Helvetica" w:cs="Helvetica"/>
          <w:color w:val="auto"/>
          <w:sz w:val="18"/>
          <w:szCs w:val="18"/>
        </w:rPr>
        <w:tab/>
      </w:r>
      <w:r>
        <w:rPr>
          <w:rFonts w:ascii="Helvetica" w:hAnsi="Helvetica" w:eastAsia="Helvetica" w:cs="Helvetica"/>
          <w:color w:val="auto"/>
          <w:sz w:val="18"/>
          <w:szCs w:val="18"/>
        </w:rPr>
        <w:t>D</w:t>
      </w:r>
      <w:r>
        <w:rPr>
          <w:rFonts w:ascii="Helvetica" w:hAnsi="Helvetica" w:eastAsia="Helvetica" w:cs="Helvetica"/>
          <w:color w:val="auto"/>
          <w:sz w:val="18"/>
          <w:szCs w:val="18"/>
        </w:rPr>
        <w:tab/>
      </w:r>
      <w:r>
        <w:rPr>
          <w:rFonts w:ascii="Helvetica" w:hAnsi="Helvetica" w:eastAsia="Helvetica" w:cs="Helvetica"/>
          <w:color w:val="auto"/>
          <w:sz w:val="18"/>
          <w:szCs w:val="18"/>
        </w:rPr>
        <w:t>C</w:t>
      </w:r>
      <w:r>
        <w:rPr>
          <w:rFonts w:ascii="Helvetica" w:hAnsi="Helvetica" w:eastAsia="Helvetica" w:cs="Helvetica"/>
          <w:color w:val="auto"/>
          <w:sz w:val="18"/>
          <w:szCs w:val="18"/>
        </w:rPr>
        <w:tab/>
      </w:r>
      <w:r>
        <w:rPr>
          <w:rFonts w:ascii="Helvetica" w:hAnsi="Helvetica" w:eastAsia="Helvetica" w:cs="Helvetica"/>
          <w:color w:val="auto"/>
          <w:sz w:val="18"/>
          <w:szCs w:val="18"/>
        </w:rPr>
        <w:t>A</w:t>
      </w:r>
      <w:r>
        <w:rPr>
          <w:rFonts w:ascii="Helvetica" w:hAnsi="Helvetica" w:eastAsia="Helvetica" w:cs="Helvetica"/>
          <w:color w:val="auto"/>
          <w:sz w:val="18"/>
          <w:szCs w:val="18"/>
        </w:rPr>
        <w:tab/>
      </w:r>
      <w:r>
        <w:rPr>
          <w:rFonts w:ascii="Helvetica" w:hAnsi="Helvetica" w:eastAsia="Helvetica" w:cs="Helvetica"/>
          <w:color w:val="auto"/>
          <w:sz w:val="18"/>
          <w:szCs w:val="18"/>
        </w:rPr>
        <w:t>B</w:t>
      </w:r>
      <w:r>
        <w:rPr>
          <w:rFonts w:ascii="Helvetica" w:hAnsi="Helvetica" w:eastAsia="Helvetica" w:cs="Helvetica"/>
          <w:color w:val="auto"/>
          <w:sz w:val="18"/>
          <w:szCs w:val="18"/>
        </w:rPr>
        <w:tab/>
      </w:r>
    </w:p>
    <w:p>
      <w:pPr>
        <w:spacing w:after="0"/>
        <w:rPr>
          <w:rFonts w:hint="default" w:eastAsia="宋体"/>
          <w:color w:val="auto"/>
          <w:sz w:val="18"/>
          <w:szCs w:val="18"/>
          <w:lang w:val="en-US" w:eastAsia="zh-CN"/>
        </w:rPr>
      </w:pPr>
      <w:r>
        <w:rPr>
          <w:rFonts w:hint="eastAsia" w:ascii="Helvetica" w:hAnsi="Helvetica" w:eastAsia="宋体" w:cs="Helvetica"/>
          <w:color w:val="auto"/>
          <w:sz w:val="18"/>
          <w:szCs w:val="18"/>
          <w:lang w:val="en-US" w:eastAsia="zh-CN"/>
        </w:rPr>
        <w:t>二多选题</w:t>
      </w:r>
      <w:r>
        <w:rPr>
          <w:rFonts w:ascii="Helvetica" w:hAnsi="Helvetica" w:eastAsia="Helvetica" w:cs="Helvetica"/>
          <w:color w:val="auto"/>
          <w:sz w:val="18"/>
          <w:szCs w:val="18"/>
        </w:rPr>
        <w:t>ABCD</w:t>
      </w:r>
      <w:r>
        <w:rPr>
          <w:rFonts w:hint="eastAsia" w:ascii="Helvetica" w:hAnsi="Helvetica" w:eastAsia="宋体" w:cs="Helvetica"/>
          <w:color w:val="auto"/>
          <w:sz w:val="18"/>
          <w:szCs w:val="18"/>
          <w:lang w:val="en-US" w:eastAsia="zh-CN"/>
        </w:rPr>
        <w:t xml:space="preserve">   </w:t>
      </w:r>
      <w:r>
        <w:rPr>
          <w:rFonts w:ascii="Helvetica" w:hAnsi="Helvetica" w:eastAsia="Helvetica" w:cs="Helvetica"/>
          <w:color w:val="auto"/>
          <w:sz w:val="18"/>
          <w:szCs w:val="18"/>
        </w:rPr>
        <w:t>ABCD</w:t>
      </w:r>
      <w:r>
        <w:rPr>
          <w:rFonts w:hint="eastAsia" w:ascii="Helvetica" w:hAnsi="Helvetica" w:eastAsia="宋体" w:cs="Helvetica"/>
          <w:color w:val="auto"/>
          <w:sz w:val="18"/>
          <w:szCs w:val="18"/>
          <w:lang w:val="en-US" w:eastAsia="zh-CN"/>
        </w:rPr>
        <w:t xml:space="preserve">  </w:t>
      </w:r>
      <w:r>
        <w:rPr>
          <w:rFonts w:ascii="Helvetica" w:hAnsi="Helvetica" w:eastAsia="Helvetica" w:cs="Helvetica"/>
          <w:color w:val="auto"/>
          <w:sz w:val="18"/>
          <w:szCs w:val="18"/>
        </w:rPr>
        <w:t>ABCD</w:t>
      </w:r>
      <w:r>
        <w:rPr>
          <w:rFonts w:hint="eastAsia" w:ascii="Helvetica" w:hAnsi="Helvetica" w:eastAsia="宋体" w:cs="Helvetica"/>
          <w:color w:val="auto"/>
          <w:sz w:val="18"/>
          <w:szCs w:val="18"/>
          <w:lang w:val="en-US" w:eastAsia="zh-CN"/>
        </w:rPr>
        <w:t>E   ACE   ABC</w:t>
      </w:r>
    </w:p>
    <w:p>
      <w:pPr>
        <w:spacing w:after="0"/>
        <w:rPr>
          <w:rFonts w:hint="default" w:eastAsia="宋体"/>
          <w:color w:val="auto"/>
          <w:sz w:val="18"/>
          <w:szCs w:val="18"/>
          <w:lang w:val="en-US" w:eastAsia="zh-CN"/>
        </w:rPr>
      </w:pPr>
      <w:r>
        <w:rPr>
          <w:rFonts w:hint="eastAsia" w:eastAsia="宋体"/>
          <w:color w:val="auto"/>
          <w:sz w:val="18"/>
          <w:szCs w:val="18"/>
          <w:lang w:val="en-US" w:eastAsia="zh-CN"/>
        </w:rPr>
        <w:t>三、名词解释</w:t>
      </w:r>
    </w:p>
    <w:p>
      <w:pPr>
        <w:spacing w:after="0" w:line="364" w:lineRule="exact"/>
        <w:rPr>
          <w:color w:val="auto"/>
          <w:sz w:val="18"/>
          <w:szCs w:val="18"/>
        </w:rPr>
      </w:pPr>
      <w:r>
        <w:rPr>
          <w:rFonts w:ascii="Helvetica" w:hAnsi="Helvetica" w:eastAsia="Helvetica" w:cs="Helvetica"/>
          <w:color w:val="auto"/>
          <w:sz w:val="18"/>
          <w:szCs w:val="18"/>
        </w:rPr>
        <w:t>1</w:t>
      </w:r>
      <w:r>
        <w:rPr>
          <w:rFonts w:ascii="宋体" w:hAnsi="宋体" w:eastAsia="宋体" w:cs="宋体"/>
          <w:color w:val="auto"/>
          <w:sz w:val="18"/>
          <w:szCs w:val="18"/>
        </w:rPr>
        <w:t>、旅游绿色营销观念即在旅游企业生产经营活动的各个阶段减少或避免环境污染，在市场营销过程中注重生态环境保护，旅游企业建立自己的竞争优势，利用各种营销方式赢得社会的认可，制造和发现市场机遇，通过长期满足现有和潜在游客的需求，来实现自己的目标。</w:t>
      </w:r>
    </w:p>
    <w:p>
      <w:pPr>
        <w:spacing w:after="0" w:line="364" w:lineRule="exact"/>
        <w:rPr>
          <w:color w:val="auto"/>
          <w:sz w:val="18"/>
          <w:szCs w:val="18"/>
        </w:rPr>
      </w:pPr>
      <w:r>
        <w:rPr>
          <w:rFonts w:ascii="Helvetica" w:hAnsi="Helvetica" w:eastAsia="Helvetica" w:cs="Helvetica"/>
          <w:color w:val="auto"/>
          <w:sz w:val="18"/>
          <w:szCs w:val="18"/>
        </w:rPr>
        <w:t>2</w:t>
      </w:r>
      <w:r>
        <w:rPr>
          <w:rFonts w:ascii="宋体" w:hAnsi="宋体" w:eastAsia="宋体" w:cs="宋体"/>
          <w:color w:val="auto"/>
          <w:sz w:val="18"/>
          <w:szCs w:val="18"/>
        </w:rPr>
        <w:t>、旅游代理商，是指那些只接受旅游产品生产者或供应者的委托，在一定区域内袋里销售其产品的旅游中间商，它通过与买卖双方的协商，促使产品的买卖活动得以实现，但并不取得产品的所有权。</w:t>
      </w:r>
    </w:p>
    <w:p>
      <w:pPr>
        <w:spacing w:after="0" w:line="364" w:lineRule="exact"/>
        <w:rPr>
          <w:rFonts w:hint="eastAsia" w:ascii="宋体" w:hAnsi="宋体" w:eastAsia="宋体" w:cs="宋体"/>
          <w:color w:val="auto"/>
          <w:sz w:val="18"/>
          <w:szCs w:val="18"/>
          <w:lang w:eastAsia="zh-CN"/>
        </w:rPr>
      </w:pPr>
      <w:r>
        <w:rPr>
          <w:rFonts w:hint="eastAsia" w:eastAsia="宋体"/>
          <w:color w:val="auto"/>
          <w:sz w:val="18"/>
          <w:szCs w:val="18"/>
          <w:lang w:val="en-US" w:eastAsia="zh-CN"/>
        </w:rPr>
        <w:t>3、</w:t>
      </w:r>
      <w:r>
        <w:rPr>
          <w:rFonts w:ascii="宋体" w:hAnsi="宋体" w:eastAsia="宋体" w:cs="宋体"/>
          <w:color w:val="auto"/>
          <w:sz w:val="18"/>
          <w:szCs w:val="18"/>
        </w:rPr>
        <w:t>旅游促销指旅游营销者将有关旅游企业、旅游地及旅游产品的信息，通过各种宣传、吸引和说服的方式，传递给旅游产品的潜在购买者，促使其了解、信赖并购买自己的旅游产品，以达到扩大销售的目的</w:t>
      </w:r>
      <w:r>
        <w:rPr>
          <w:rFonts w:hint="eastAsia" w:ascii="宋体" w:hAnsi="宋体" w:eastAsia="宋体" w:cs="宋体"/>
          <w:color w:val="auto"/>
          <w:sz w:val="18"/>
          <w:szCs w:val="18"/>
          <w:lang w:eastAsia="zh-CN"/>
        </w:rPr>
        <w:t>。</w:t>
      </w:r>
    </w:p>
    <w:p>
      <w:pPr>
        <w:spacing w:after="0"/>
        <w:rPr>
          <w:rFonts w:hint="default" w:eastAsia="宋体"/>
          <w:color w:val="auto"/>
          <w:sz w:val="18"/>
          <w:szCs w:val="18"/>
          <w:lang w:val="en-US" w:eastAsia="zh-CN"/>
        </w:rPr>
      </w:pPr>
    </w:p>
    <w:p>
      <w:pPr>
        <w:keepNext w:val="0"/>
        <w:keepLines w:val="0"/>
        <w:pageBreakBefore w:val="0"/>
        <w:widowControl w:val="0"/>
        <w:numPr>
          <w:ilvl w:val="0"/>
          <w:numId w:val="4"/>
        </w:numPr>
        <w:kinsoku/>
        <w:wordWrap/>
        <w:overflowPunct/>
        <w:topLinePunct w:val="0"/>
        <w:autoSpaceDE/>
        <w:autoSpaceDN/>
        <w:bidi w:val="0"/>
        <w:adjustRightInd/>
        <w:snapToGrid/>
        <w:spacing w:after="0" w:line="400" w:lineRule="exact"/>
        <w:ind w:left="0" w:leftChars="0" w:firstLine="0" w:firstLineChars="0"/>
        <w:jc w:val="both"/>
        <w:textAlignment w:val="auto"/>
        <w:rPr>
          <w:rFonts w:hint="eastAsia" w:ascii="Helvetica" w:hAnsi="Helvetica" w:eastAsia="宋体" w:cs="Helvetica"/>
          <w:color w:val="auto"/>
          <w:sz w:val="18"/>
          <w:szCs w:val="18"/>
          <w:lang w:val="en-US" w:eastAsia="zh-CN"/>
        </w:rPr>
      </w:pPr>
      <w:r>
        <w:rPr>
          <w:rFonts w:hint="eastAsia" w:ascii="Helvetica" w:hAnsi="Helvetica" w:eastAsia="宋体" w:cs="Helvetica"/>
          <w:color w:val="auto"/>
          <w:sz w:val="18"/>
          <w:szCs w:val="18"/>
          <w:lang w:val="en-US" w:eastAsia="zh-CN"/>
        </w:rPr>
        <w:t>简答题</w:t>
      </w:r>
    </w:p>
    <w:p>
      <w:pPr>
        <w:keepNext w:val="0"/>
        <w:keepLines w:val="0"/>
        <w:pageBreakBefore w:val="0"/>
        <w:widowControl w:val="0"/>
        <w:numPr>
          <w:ilvl w:val="0"/>
          <w:numId w:val="5"/>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lang w:eastAsia="zh-CN"/>
        </w:rPr>
        <w:t>）</w:t>
      </w:r>
      <w:r>
        <w:rPr>
          <w:rFonts w:ascii="宋体" w:hAnsi="宋体" w:eastAsia="宋体" w:cs="宋体"/>
          <w:color w:val="auto"/>
          <w:sz w:val="18"/>
          <w:szCs w:val="18"/>
        </w:rPr>
        <w:t>获取理想利润目标</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lang w:eastAsia="zh-CN"/>
        </w:rPr>
        <w:t>）</w:t>
      </w:r>
      <w:r>
        <w:rPr>
          <w:rFonts w:ascii="宋体" w:hAnsi="宋体" w:eastAsia="宋体" w:cs="宋体"/>
          <w:color w:val="auto"/>
          <w:sz w:val="18"/>
          <w:szCs w:val="18"/>
        </w:rPr>
        <w:t>获取适当投资利润目率标</w:t>
      </w:r>
      <w:r>
        <w:rPr>
          <w:rFonts w:hint="eastAsia" w:ascii="宋体" w:hAnsi="宋体" w:eastAsia="宋体" w:cs="宋体"/>
          <w:color w:val="auto"/>
          <w:sz w:val="18"/>
          <w:szCs w:val="18"/>
          <w:lang w:eastAsia="zh-CN"/>
        </w:rPr>
        <w:t>；</w:t>
      </w:r>
    </w:p>
    <w:p>
      <w:pPr>
        <w:keepNext w:val="0"/>
        <w:keepLines w:val="0"/>
        <w:pageBreakBefore w:val="0"/>
        <w:widowControl w:val="0"/>
        <w:numPr>
          <w:ilvl w:val="0"/>
          <w:numId w:val="6"/>
        </w:numPr>
        <w:kinsoku/>
        <w:wordWrap/>
        <w:overflowPunct/>
        <w:topLinePunct w:val="0"/>
        <w:autoSpaceDE/>
        <w:autoSpaceDN/>
        <w:bidi w:val="0"/>
        <w:adjustRightInd/>
        <w:snapToGrid/>
        <w:spacing w:after="0" w:line="400" w:lineRule="exact"/>
        <w:ind w:left="450" w:leftChars="0" w:firstLine="0" w:firstLineChars="0"/>
        <w:jc w:val="both"/>
        <w:textAlignment w:val="auto"/>
        <w:rPr>
          <w:rFonts w:hint="eastAsia" w:ascii="宋体" w:hAnsi="宋体" w:eastAsia="宋体" w:cs="宋体"/>
          <w:color w:val="auto"/>
          <w:sz w:val="18"/>
          <w:szCs w:val="18"/>
          <w:lang w:val="en-US" w:eastAsia="zh-CN"/>
        </w:rPr>
      </w:pPr>
      <w:r>
        <w:rPr>
          <w:rFonts w:ascii="宋体" w:hAnsi="宋体" w:eastAsia="宋体" w:cs="宋体"/>
          <w:color w:val="auto"/>
          <w:sz w:val="18"/>
          <w:szCs w:val="18"/>
        </w:rPr>
        <w:t>维护或提高市场占有率目</w:t>
      </w:r>
      <w:r>
        <w:rPr>
          <w:rFonts w:hint="eastAsia" w:ascii="宋体" w:hAnsi="宋体" w:eastAsia="宋体" w:cs="宋体"/>
          <w:color w:val="auto"/>
          <w:sz w:val="18"/>
          <w:szCs w:val="18"/>
          <w:lang w:val="en-US" w:eastAsia="zh-CN"/>
        </w:rPr>
        <w:t>标；</w:t>
      </w:r>
    </w:p>
    <w:p>
      <w:pPr>
        <w:keepNext w:val="0"/>
        <w:keepLines w:val="0"/>
        <w:pageBreakBefore w:val="0"/>
        <w:widowControl w:val="0"/>
        <w:numPr>
          <w:ilvl w:val="0"/>
          <w:numId w:val="6"/>
        </w:numPr>
        <w:kinsoku/>
        <w:wordWrap/>
        <w:overflowPunct/>
        <w:topLinePunct w:val="0"/>
        <w:autoSpaceDE/>
        <w:autoSpaceDN/>
        <w:bidi w:val="0"/>
        <w:adjustRightInd/>
        <w:snapToGrid/>
        <w:spacing w:after="0" w:line="400" w:lineRule="exact"/>
        <w:ind w:left="450" w:leftChars="0" w:firstLine="0" w:firstLineChars="0"/>
        <w:jc w:val="both"/>
        <w:textAlignment w:val="auto"/>
        <w:rPr>
          <w:rFonts w:hint="default" w:ascii="宋体" w:hAnsi="宋体" w:eastAsia="宋体" w:cs="宋体"/>
          <w:color w:val="auto"/>
          <w:sz w:val="18"/>
          <w:szCs w:val="18"/>
          <w:lang w:val="en-US" w:eastAsia="zh-CN"/>
        </w:rPr>
      </w:pPr>
      <w:r>
        <w:rPr>
          <w:rFonts w:ascii="宋体" w:hAnsi="宋体" w:eastAsia="宋体" w:cs="宋体"/>
          <w:color w:val="auto"/>
          <w:w w:val="98"/>
          <w:sz w:val="18"/>
          <w:szCs w:val="18"/>
        </w:rPr>
        <w:t>稳定市场价格目标</w:t>
      </w:r>
      <w:r>
        <w:rPr>
          <w:rFonts w:hint="eastAsia" w:ascii="宋体" w:hAnsi="宋体" w:eastAsia="宋体" w:cs="宋体"/>
          <w:color w:val="auto"/>
          <w:w w:val="98"/>
          <w:sz w:val="18"/>
          <w:szCs w:val="18"/>
          <w:lang w:eastAsia="zh-CN"/>
        </w:rPr>
        <w:t>；</w:t>
      </w:r>
    </w:p>
    <w:p>
      <w:pPr>
        <w:keepNext w:val="0"/>
        <w:keepLines w:val="0"/>
        <w:pageBreakBefore w:val="0"/>
        <w:widowControl w:val="0"/>
        <w:numPr>
          <w:ilvl w:val="0"/>
          <w:numId w:val="6"/>
        </w:numPr>
        <w:kinsoku/>
        <w:wordWrap/>
        <w:overflowPunct/>
        <w:topLinePunct w:val="0"/>
        <w:autoSpaceDE/>
        <w:autoSpaceDN/>
        <w:bidi w:val="0"/>
        <w:adjustRightInd/>
        <w:snapToGrid/>
        <w:spacing w:after="0" w:line="400" w:lineRule="exact"/>
        <w:ind w:left="450" w:leftChars="0" w:firstLine="0" w:firstLineChars="0"/>
        <w:jc w:val="both"/>
        <w:textAlignment w:val="auto"/>
        <w:rPr>
          <w:rFonts w:hint="default" w:ascii="宋体" w:hAnsi="宋体" w:eastAsia="宋体" w:cs="宋体"/>
          <w:color w:val="auto"/>
          <w:sz w:val="18"/>
          <w:szCs w:val="18"/>
          <w:lang w:val="en-US" w:eastAsia="zh-CN"/>
        </w:rPr>
      </w:pPr>
      <w:r>
        <w:rPr>
          <w:rFonts w:ascii="宋体" w:hAnsi="宋体" w:eastAsia="宋体" w:cs="宋体"/>
          <w:color w:val="auto"/>
          <w:sz w:val="18"/>
          <w:szCs w:val="18"/>
        </w:rPr>
        <w:t>应付与防止竞争目标</w:t>
      </w:r>
      <w:r>
        <w:rPr>
          <w:rFonts w:hint="eastAsia" w:ascii="宋体" w:hAnsi="宋体" w:eastAsia="宋体" w:cs="宋体"/>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450" w:leftChars="0"/>
        <w:jc w:val="both"/>
        <w:textAlignment w:val="auto"/>
        <w:rPr>
          <w:rFonts w:hint="eastAsia" w:ascii="宋体" w:hAnsi="宋体" w:eastAsia="宋体" w:cs="宋体"/>
          <w:color w:val="auto"/>
          <w:sz w:val="18"/>
          <w:szCs w:val="18"/>
          <w:lang w:eastAsia="zh-CN"/>
        </w:rPr>
      </w:pPr>
    </w:p>
    <w:p>
      <w:pPr>
        <w:keepNext w:val="0"/>
        <w:keepLines w:val="0"/>
        <w:pageBreakBefore w:val="0"/>
        <w:widowControl w:val="0"/>
        <w:numPr>
          <w:ilvl w:val="0"/>
          <w:numId w:val="5"/>
        </w:numPr>
        <w:kinsoku/>
        <w:wordWrap/>
        <w:overflowPunct/>
        <w:topLinePunct w:val="0"/>
        <w:autoSpaceDE/>
        <w:autoSpaceDN/>
        <w:bidi w:val="0"/>
        <w:adjustRightInd/>
        <w:snapToGrid/>
        <w:spacing w:after="0" w:line="400" w:lineRule="exact"/>
        <w:ind w:left="0" w:leftChars="0" w:firstLine="0" w:firstLineChars="0"/>
        <w:jc w:val="both"/>
        <w:textAlignment w:val="auto"/>
        <w:rPr>
          <w:rFonts w:ascii="宋体" w:hAnsi="宋体" w:eastAsia="宋体" w:cs="宋体"/>
          <w:color w:val="auto"/>
          <w:sz w:val="18"/>
          <w:szCs w:val="18"/>
        </w:rPr>
      </w:pPr>
      <w:r>
        <w:rPr>
          <w:rFonts w:hint="eastAsia" w:ascii="宋体" w:hAnsi="宋体" w:eastAsia="宋体" w:cs="宋体"/>
          <w:color w:val="auto"/>
          <w:sz w:val="18"/>
          <w:szCs w:val="18"/>
          <w:lang w:val="en-US" w:eastAsia="zh-CN"/>
        </w:rPr>
        <w:t>（1）</w:t>
      </w:r>
      <w:r>
        <w:rPr>
          <w:rFonts w:ascii="宋体" w:hAnsi="宋体" w:eastAsia="宋体" w:cs="宋体"/>
          <w:color w:val="auto"/>
          <w:sz w:val="18"/>
          <w:szCs w:val="18"/>
        </w:rPr>
        <w:t>产品多样化，形成一定的产品体系</w:t>
      </w:r>
    </w:p>
    <w:p>
      <w:pPr>
        <w:keepNext w:val="0"/>
        <w:keepLines w:val="0"/>
        <w:pageBreakBefore w:val="0"/>
        <w:widowControl w:val="0"/>
        <w:numPr>
          <w:ilvl w:val="0"/>
          <w:numId w:val="7"/>
        </w:numPr>
        <w:kinsoku/>
        <w:wordWrap/>
        <w:overflowPunct/>
        <w:topLinePunct w:val="0"/>
        <w:autoSpaceDE/>
        <w:autoSpaceDN/>
        <w:bidi w:val="0"/>
        <w:adjustRightInd/>
        <w:snapToGrid/>
        <w:spacing w:after="0" w:line="400" w:lineRule="exact"/>
        <w:ind w:left="450" w:leftChars="0" w:firstLine="0" w:firstLineChars="0"/>
        <w:jc w:val="both"/>
        <w:textAlignment w:val="auto"/>
        <w:rPr>
          <w:rFonts w:ascii="宋体" w:hAnsi="宋体" w:eastAsia="宋体" w:cs="宋体"/>
          <w:color w:val="auto"/>
          <w:w w:val="97"/>
          <w:sz w:val="18"/>
          <w:szCs w:val="18"/>
        </w:rPr>
      </w:pPr>
      <w:r>
        <w:rPr>
          <w:rFonts w:ascii="宋体" w:hAnsi="宋体" w:eastAsia="宋体" w:cs="宋体"/>
          <w:color w:val="auto"/>
          <w:w w:val="97"/>
          <w:sz w:val="18"/>
          <w:szCs w:val="18"/>
        </w:rPr>
        <w:t xml:space="preserve">主导产品明确， 整体形象鲜明 </w:t>
      </w:r>
    </w:p>
    <w:p>
      <w:pPr>
        <w:keepNext w:val="0"/>
        <w:keepLines w:val="0"/>
        <w:pageBreakBefore w:val="0"/>
        <w:widowControl w:val="0"/>
        <w:numPr>
          <w:ilvl w:val="0"/>
          <w:numId w:val="7"/>
        </w:numPr>
        <w:kinsoku/>
        <w:wordWrap/>
        <w:overflowPunct/>
        <w:topLinePunct w:val="0"/>
        <w:autoSpaceDE/>
        <w:autoSpaceDN/>
        <w:bidi w:val="0"/>
        <w:adjustRightInd/>
        <w:snapToGrid/>
        <w:spacing w:after="0" w:line="400" w:lineRule="exact"/>
        <w:ind w:left="450" w:leftChars="0" w:firstLine="0" w:firstLineChars="0"/>
        <w:jc w:val="both"/>
        <w:textAlignment w:val="auto"/>
        <w:rPr>
          <w:rFonts w:hint="default" w:ascii="宋体" w:hAnsi="宋体" w:eastAsia="宋体" w:cs="宋体"/>
          <w:color w:val="auto"/>
          <w:w w:val="97"/>
          <w:sz w:val="18"/>
          <w:szCs w:val="18"/>
          <w:lang w:val="en-US" w:eastAsia="zh-CN"/>
        </w:rPr>
      </w:pPr>
      <w:r>
        <w:rPr>
          <w:rFonts w:ascii="宋体" w:hAnsi="宋体" w:eastAsia="宋体" w:cs="宋体"/>
          <w:color w:val="auto"/>
          <w:sz w:val="18"/>
          <w:szCs w:val="18"/>
        </w:rPr>
        <w:t>旅游新产品不断涌现， 产品生命周期缩短</w:t>
      </w:r>
    </w:p>
    <w:p>
      <w:pPr>
        <w:keepNext w:val="0"/>
        <w:keepLines w:val="0"/>
        <w:pageBreakBefore w:val="0"/>
        <w:widowControl w:val="0"/>
        <w:numPr>
          <w:ilvl w:val="0"/>
          <w:numId w:val="7"/>
        </w:numPr>
        <w:kinsoku/>
        <w:wordWrap/>
        <w:overflowPunct/>
        <w:topLinePunct w:val="0"/>
        <w:autoSpaceDE/>
        <w:autoSpaceDN/>
        <w:bidi w:val="0"/>
        <w:adjustRightInd/>
        <w:snapToGrid/>
        <w:spacing w:after="0" w:line="400" w:lineRule="exact"/>
        <w:ind w:left="450" w:leftChars="0" w:firstLine="0" w:firstLineChars="0"/>
        <w:jc w:val="both"/>
        <w:textAlignment w:val="auto"/>
        <w:rPr>
          <w:rFonts w:hint="default" w:ascii="宋体" w:hAnsi="宋体" w:eastAsia="宋体" w:cs="宋体"/>
          <w:color w:val="auto"/>
          <w:w w:val="97"/>
          <w:sz w:val="18"/>
          <w:szCs w:val="18"/>
          <w:lang w:val="en-US" w:eastAsia="zh-CN"/>
        </w:rPr>
      </w:pPr>
      <w:r>
        <w:rPr>
          <w:rFonts w:ascii="宋体" w:hAnsi="宋体" w:eastAsia="宋体" w:cs="宋体"/>
          <w:color w:val="auto"/>
          <w:sz w:val="18"/>
          <w:szCs w:val="18"/>
        </w:rPr>
        <w:t>旅游产品大型化和集中化，</w:t>
      </w:r>
    </w:p>
    <w:p>
      <w:pPr>
        <w:keepNext w:val="0"/>
        <w:keepLines w:val="0"/>
        <w:pageBreakBefore w:val="0"/>
        <w:widowControl w:val="0"/>
        <w:numPr>
          <w:ilvl w:val="0"/>
          <w:numId w:val="7"/>
        </w:numPr>
        <w:kinsoku/>
        <w:wordWrap/>
        <w:overflowPunct/>
        <w:topLinePunct w:val="0"/>
        <w:autoSpaceDE/>
        <w:autoSpaceDN/>
        <w:bidi w:val="0"/>
        <w:adjustRightInd/>
        <w:snapToGrid/>
        <w:spacing w:after="0" w:line="400" w:lineRule="exact"/>
        <w:ind w:left="450" w:leftChars="0" w:firstLine="0" w:firstLineChars="0"/>
        <w:jc w:val="both"/>
        <w:textAlignment w:val="auto"/>
        <w:rPr>
          <w:rFonts w:hint="default" w:ascii="宋体" w:hAnsi="宋体" w:eastAsia="宋体" w:cs="宋体"/>
          <w:color w:val="auto"/>
          <w:sz w:val="18"/>
          <w:szCs w:val="18"/>
          <w:lang w:val="en-US" w:eastAsia="zh-CN"/>
        </w:rPr>
      </w:pPr>
      <w:r>
        <w:rPr>
          <w:rFonts w:ascii="宋体" w:hAnsi="宋体" w:eastAsia="宋体" w:cs="宋体"/>
          <w:color w:val="auto"/>
          <w:sz w:val="18"/>
          <w:szCs w:val="18"/>
        </w:rPr>
        <w:t>注重产品的参与性，增加游客的消遣内容</w:t>
      </w:r>
      <w:r>
        <w:rPr>
          <w:rFonts w:hint="eastAsia" w:ascii="宋体" w:hAnsi="宋体" w:eastAsia="宋体" w:cs="宋体"/>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both"/>
        <w:textAlignment w:val="auto"/>
        <w:rPr>
          <w:rFonts w:hint="default" w:ascii="宋体" w:hAnsi="宋体" w:eastAsia="宋体" w:cs="宋体"/>
          <w:color w:val="auto"/>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五、论述题</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微软雅黑" w:hAnsi="微软雅黑" w:eastAsia="微软雅黑" w:cs="微软雅黑"/>
          <w:i w:val="0"/>
          <w:caps w:val="0"/>
          <w:color w:val="333333"/>
          <w:spacing w:val="0"/>
          <w:sz w:val="18"/>
          <w:szCs w:val="18"/>
          <w:shd w:val="clear" w:fill="FFFFFF"/>
        </w:rPr>
      </w:pPr>
      <w:r>
        <w:rPr>
          <w:rFonts w:hint="eastAsia" w:ascii="宋体" w:hAnsi="宋体" w:eastAsia="宋体" w:cs="宋体"/>
          <w:color w:val="auto"/>
          <w:sz w:val="18"/>
          <w:szCs w:val="18"/>
          <w:lang w:val="en-US" w:eastAsia="zh-CN"/>
        </w:rPr>
        <w:t>1、</w:t>
      </w:r>
      <w:r>
        <w:rPr>
          <w:rFonts w:hint="eastAsia" w:ascii="微软雅黑" w:hAnsi="微软雅黑" w:eastAsia="微软雅黑" w:cs="微软雅黑"/>
          <w:i w:val="0"/>
          <w:caps w:val="0"/>
          <w:color w:val="333333"/>
          <w:spacing w:val="0"/>
          <w:sz w:val="18"/>
          <w:szCs w:val="18"/>
          <w:shd w:val="clear" w:fill="FFFFFF"/>
        </w:rPr>
        <w:t>旅游市场营销环境包括宏观和微观</w:t>
      </w:r>
      <w:r>
        <w:rPr>
          <w:rFonts w:hint="eastAsia" w:ascii="微软雅黑" w:hAnsi="微软雅黑" w:eastAsia="微软雅黑" w:cs="微软雅黑"/>
          <w:i w:val="0"/>
          <w:caps w:val="0"/>
          <w:color w:val="333333"/>
          <w:spacing w:val="0"/>
          <w:sz w:val="18"/>
          <w:szCs w:val="18"/>
          <w:shd w:val="clear" w:fill="FFFFFF"/>
          <w:lang w:eastAsia="zh-CN"/>
        </w:rPr>
        <w:t>，</w:t>
      </w:r>
      <w:r>
        <w:rPr>
          <w:rFonts w:hint="eastAsia" w:ascii="微软雅黑" w:hAnsi="微软雅黑" w:eastAsia="微软雅黑" w:cs="微软雅黑"/>
          <w:i w:val="0"/>
          <w:caps w:val="0"/>
          <w:color w:val="333333"/>
          <w:spacing w:val="0"/>
          <w:sz w:val="18"/>
          <w:szCs w:val="18"/>
          <w:shd w:val="clear" w:fill="FFFFFF"/>
        </w:rPr>
        <w:t>微观营销环境是与企业市场营销活动直接发生关系的具体环境,是决定企业生存和发展的基本环境,主要由旅游企业自身、</w:t>
      </w:r>
      <w:r>
        <w:rPr>
          <w:rFonts w:hint="eastAsia" w:ascii="微软雅黑" w:hAnsi="微软雅黑" w:eastAsia="微软雅黑" w:cs="微软雅黑"/>
          <w:i w:val="0"/>
          <w:caps w:val="0"/>
          <w:color w:val="auto"/>
          <w:spacing w:val="0"/>
          <w:sz w:val="18"/>
          <w:szCs w:val="18"/>
          <w:u w:val="none"/>
          <w:shd w:val="clear" w:fill="FFFFFF"/>
        </w:rPr>
        <w:fldChar w:fldCharType="begin"/>
      </w:r>
      <w:r>
        <w:rPr>
          <w:rFonts w:hint="eastAsia" w:ascii="微软雅黑" w:hAnsi="微软雅黑" w:eastAsia="微软雅黑" w:cs="微软雅黑"/>
          <w:i w:val="0"/>
          <w:caps w:val="0"/>
          <w:color w:val="auto"/>
          <w:spacing w:val="0"/>
          <w:sz w:val="18"/>
          <w:szCs w:val="18"/>
          <w:u w:val="none"/>
          <w:shd w:val="clear" w:fill="FFFFFF"/>
        </w:rPr>
        <w:instrText xml:space="preserve"> HYPERLINK "https://www.baidu.com/s?wd=%E8%90%A5%E9%94%80%E4%B8%AD%E4%BB%8B&amp;tn=SE_PcZhidaonwhc_ngpagmjz&amp;rsv_dl=gh_pc_zhidao" \t "https://zhidao.baidu.com/question/_blank" </w:instrText>
      </w:r>
      <w:r>
        <w:rPr>
          <w:rFonts w:hint="eastAsia" w:ascii="微软雅黑" w:hAnsi="微软雅黑" w:eastAsia="微软雅黑" w:cs="微软雅黑"/>
          <w:i w:val="0"/>
          <w:caps w:val="0"/>
          <w:color w:val="auto"/>
          <w:spacing w:val="0"/>
          <w:sz w:val="18"/>
          <w:szCs w:val="18"/>
          <w:u w:val="none"/>
          <w:shd w:val="clear" w:fill="FFFFFF"/>
        </w:rPr>
        <w:fldChar w:fldCharType="separate"/>
      </w:r>
      <w:r>
        <w:rPr>
          <w:rStyle w:val="3"/>
          <w:rFonts w:hint="eastAsia" w:ascii="微软雅黑" w:hAnsi="微软雅黑" w:eastAsia="微软雅黑" w:cs="微软雅黑"/>
          <w:i w:val="0"/>
          <w:caps w:val="0"/>
          <w:color w:val="auto"/>
          <w:spacing w:val="0"/>
          <w:sz w:val="18"/>
          <w:szCs w:val="18"/>
          <w:u w:val="none"/>
          <w:shd w:val="clear" w:fill="FFFFFF"/>
        </w:rPr>
        <w:t>营销中介</w:t>
      </w:r>
      <w:r>
        <w:rPr>
          <w:rFonts w:hint="eastAsia" w:ascii="微软雅黑" w:hAnsi="微软雅黑" w:eastAsia="微软雅黑" w:cs="微软雅黑"/>
          <w:i w:val="0"/>
          <w:caps w:val="0"/>
          <w:color w:val="auto"/>
          <w:spacing w:val="0"/>
          <w:sz w:val="18"/>
          <w:szCs w:val="18"/>
          <w:u w:val="none"/>
          <w:shd w:val="clear" w:fill="FFFFFF"/>
        </w:rPr>
        <w:fldChar w:fldCharType="end"/>
      </w:r>
      <w:r>
        <w:rPr>
          <w:rFonts w:hint="eastAsia" w:ascii="微软雅黑" w:hAnsi="微软雅黑" w:eastAsia="微软雅黑" w:cs="微软雅黑"/>
          <w:i w:val="0"/>
          <w:caps w:val="0"/>
          <w:color w:val="333333"/>
          <w:spacing w:val="0"/>
          <w:sz w:val="18"/>
          <w:szCs w:val="18"/>
          <w:shd w:val="clear" w:fill="FFFFFF"/>
        </w:rPr>
        <w:t>、供应者、购买者、竞争者、公众等要素构成。</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180" w:firstLineChars="100"/>
        <w:jc w:val="both"/>
        <w:textAlignment w:val="auto"/>
        <w:rPr>
          <w:rFonts w:hint="eastAsia" w:ascii="宋体" w:hAnsi="宋体" w:eastAsia="宋体" w:cs="宋体"/>
          <w:color w:val="auto"/>
          <w:sz w:val="18"/>
          <w:szCs w:val="18"/>
          <w:lang w:eastAsia="zh-CN"/>
        </w:rPr>
      </w:pPr>
      <w:r>
        <w:rPr>
          <w:rFonts w:hint="eastAsia" w:ascii="宋体" w:hAnsi="宋体" w:eastAsia="宋体" w:cs="宋体"/>
          <w:color w:val="auto"/>
          <w:sz w:val="18"/>
          <w:szCs w:val="18"/>
          <w:lang w:val="en-US" w:eastAsia="zh-CN"/>
        </w:rPr>
        <w:t>（1）</w:t>
      </w:r>
      <w:r>
        <w:rPr>
          <w:rFonts w:ascii="宋体" w:hAnsi="宋体" w:eastAsia="宋体" w:cs="宋体"/>
          <w:color w:val="auto"/>
          <w:sz w:val="18"/>
          <w:szCs w:val="18"/>
        </w:rPr>
        <w:t>供应者对旅游企业营销活动的影响</w:t>
      </w:r>
      <w:r>
        <w:rPr>
          <w:rFonts w:hint="eastAsia" w:ascii="宋体" w:hAnsi="宋体" w:eastAsia="宋体" w:cs="宋体"/>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eastAsia="zh-CN"/>
        </w:rPr>
      </w:pPr>
      <w:r>
        <w:rPr>
          <w:rFonts w:hint="eastAsia" w:ascii="宋体" w:hAnsi="宋体" w:eastAsia="宋体" w:cs="宋体"/>
          <w:color w:val="auto"/>
          <w:sz w:val="18"/>
          <w:szCs w:val="18"/>
          <w:lang w:val="en-US" w:eastAsia="zh-CN"/>
        </w:rPr>
        <w:t xml:space="preserve">  （2）</w:t>
      </w:r>
      <w:r>
        <w:rPr>
          <w:rFonts w:ascii="宋体" w:hAnsi="宋体" w:eastAsia="宋体" w:cs="宋体"/>
          <w:color w:val="auto"/>
          <w:sz w:val="18"/>
          <w:szCs w:val="18"/>
        </w:rPr>
        <w:t>购买者对旅游企业营销活动的影响</w:t>
      </w:r>
      <w:r>
        <w:rPr>
          <w:rFonts w:hint="eastAsia" w:ascii="宋体" w:hAnsi="宋体" w:eastAsia="宋体" w:cs="宋体"/>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eastAsia="zh-CN"/>
        </w:rPr>
      </w:pPr>
      <w:r>
        <w:rPr>
          <w:rFonts w:hint="eastAsia" w:ascii="宋体" w:hAnsi="宋体" w:eastAsia="宋体" w:cs="宋体"/>
          <w:color w:val="auto"/>
          <w:sz w:val="18"/>
          <w:szCs w:val="18"/>
          <w:lang w:val="en-US" w:eastAsia="zh-CN"/>
        </w:rPr>
        <w:t xml:space="preserve">  （3）</w:t>
      </w:r>
      <w:r>
        <w:rPr>
          <w:rFonts w:ascii="宋体" w:hAnsi="宋体" w:eastAsia="宋体" w:cs="宋体"/>
          <w:color w:val="auto"/>
          <w:sz w:val="18"/>
          <w:szCs w:val="18"/>
        </w:rPr>
        <w:t>中间商对旅游企业营销活动的影响</w:t>
      </w:r>
      <w:r>
        <w:rPr>
          <w:rFonts w:hint="eastAsia" w:ascii="宋体" w:hAnsi="宋体" w:eastAsia="宋体" w:cs="宋体"/>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eastAsia="zh-CN"/>
        </w:rPr>
      </w:pPr>
      <w:r>
        <w:rPr>
          <w:rFonts w:hint="eastAsia" w:ascii="宋体" w:hAnsi="宋体" w:eastAsia="宋体" w:cs="宋体"/>
          <w:color w:val="auto"/>
          <w:sz w:val="18"/>
          <w:szCs w:val="18"/>
          <w:lang w:val="en-US" w:eastAsia="zh-CN"/>
        </w:rPr>
        <w:t xml:space="preserve">  （4）</w:t>
      </w:r>
      <w:r>
        <w:rPr>
          <w:rFonts w:ascii="宋体" w:hAnsi="宋体" w:eastAsia="宋体" w:cs="宋体"/>
          <w:color w:val="auto"/>
          <w:sz w:val="18"/>
          <w:szCs w:val="18"/>
        </w:rPr>
        <w:t>竞争者对旅游企业营销活动的影响</w:t>
      </w:r>
      <w:r>
        <w:rPr>
          <w:rFonts w:hint="eastAsia" w:ascii="宋体" w:hAnsi="宋体" w:eastAsia="宋体" w:cs="宋体"/>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eastAsia="zh-CN"/>
        </w:rPr>
      </w:pPr>
      <w:r>
        <w:rPr>
          <w:rFonts w:hint="eastAsia" w:ascii="宋体" w:hAnsi="宋体" w:eastAsia="宋体" w:cs="宋体"/>
          <w:color w:val="auto"/>
          <w:sz w:val="18"/>
          <w:szCs w:val="18"/>
          <w:lang w:val="en-US" w:eastAsia="zh-CN"/>
        </w:rPr>
        <w:t xml:space="preserve">  （5）</w:t>
      </w:r>
      <w:r>
        <w:rPr>
          <w:rFonts w:ascii="宋体" w:hAnsi="宋体" w:eastAsia="宋体" w:cs="宋体"/>
          <w:color w:val="auto"/>
          <w:sz w:val="18"/>
          <w:szCs w:val="18"/>
        </w:rPr>
        <w:t>公众对旅游企业营销活动的影响</w:t>
      </w:r>
      <w:r>
        <w:rPr>
          <w:rFonts w:hint="eastAsia" w:ascii="宋体" w:hAnsi="宋体" w:eastAsia="宋体" w:cs="宋体"/>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360" w:firstLineChars="200"/>
        <w:jc w:val="both"/>
        <w:textAlignment w:val="auto"/>
        <w:rPr>
          <w:rFonts w:hint="eastAsia" w:ascii="宋体" w:hAnsi="宋体" w:eastAsia="宋体" w:cs="宋体"/>
          <w:color w:val="auto"/>
          <w:sz w:val="18"/>
          <w:szCs w:val="18"/>
          <w:lang w:eastAsia="zh-CN"/>
        </w:rPr>
      </w:pPr>
      <w:r>
        <w:rPr>
          <w:rFonts w:hint="eastAsia" w:ascii="宋体" w:hAnsi="宋体" w:eastAsia="宋体" w:cs="宋体"/>
          <w:color w:val="auto"/>
          <w:sz w:val="18"/>
          <w:szCs w:val="18"/>
          <w:lang w:val="en-US" w:eastAsia="zh-CN"/>
        </w:rPr>
        <w:t xml:space="preserve">  （6）</w:t>
      </w:r>
      <w:r>
        <w:rPr>
          <w:rFonts w:ascii="宋体" w:hAnsi="宋体" w:eastAsia="宋体" w:cs="宋体"/>
          <w:color w:val="auto"/>
          <w:sz w:val="18"/>
          <w:szCs w:val="18"/>
        </w:rPr>
        <w:t>企业自身对旅游企业营销活动的影响</w:t>
      </w:r>
      <w:r>
        <w:rPr>
          <w:rFonts w:hint="eastAsia" w:ascii="宋体" w:hAnsi="宋体" w:eastAsia="宋体" w:cs="宋体"/>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360" w:firstLineChars="200"/>
        <w:jc w:val="both"/>
        <w:textAlignment w:val="auto"/>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以上几点</w:t>
      </w:r>
      <w:r>
        <w:rPr>
          <w:rFonts w:ascii="宋体" w:hAnsi="宋体" w:eastAsia="宋体" w:cs="宋体"/>
          <w:color w:val="auto"/>
          <w:sz w:val="18"/>
          <w:szCs w:val="18"/>
        </w:rPr>
        <w:t>展开论述即可，酌情给分</w:t>
      </w:r>
      <w:r>
        <w:rPr>
          <w:rFonts w:hint="eastAsia" w:ascii="宋体" w:hAnsi="宋体" w:eastAsia="宋体" w:cs="宋体"/>
          <w:color w:val="auto"/>
          <w:sz w:val="18"/>
          <w:szCs w:val="1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jc w:val="both"/>
        <w:textAlignment w:val="auto"/>
        <w:rPr>
          <w:rFonts w:hint="eastAsia" w:ascii="宋体" w:hAnsi="宋体" w:eastAsia="宋体" w:cs="宋体"/>
          <w:color w:val="auto"/>
          <w:sz w:val="18"/>
          <w:szCs w:val="1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360" w:firstLineChars="200"/>
        <w:jc w:val="both"/>
        <w:textAlignment w:val="auto"/>
        <w:rPr>
          <w:rFonts w:hint="eastAsia" w:ascii="宋体" w:hAnsi="宋体" w:eastAsia="宋体" w:cs="宋体"/>
          <w:color w:val="auto"/>
          <w:sz w:val="18"/>
          <w:szCs w:val="18"/>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400001FF" w:csb1="FFFF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B396C7"/>
    <w:multiLevelType w:val="singleLevel"/>
    <w:tmpl w:val="C5B396C7"/>
    <w:lvl w:ilvl="0" w:tentative="0">
      <w:start w:val="1"/>
      <w:numFmt w:val="decimal"/>
      <w:suff w:val="nothing"/>
      <w:lvlText w:val="%1、"/>
      <w:lvlJc w:val="left"/>
    </w:lvl>
  </w:abstractNum>
  <w:abstractNum w:abstractNumId="1">
    <w:nsid w:val="DD3BD5C2"/>
    <w:multiLevelType w:val="singleLevel"/>
    <w:tmpl w:val="DD3BD5C2"/>
    <w:lvl w:ilvl="0" w:tentative="0">
      <w:start w:val="2"/>
      <w:numFmt w:val="decimal"/>
      <w:lvlText w:val="%1."/>
      <w:lvlJc w:val="left"/>
      <w:pPr>
        <w:tabs>
          <w:tab w:val="left" w:pos="312"/>
        </w:tabs>
      </w:pPr>
    </w:lvl>
  </w:abstractNum>
  <w:abstractNum w:abstractNumId="2">
    <w:nsid w:val="14514B8E"/>
    <w:multiLevelType w:val="singleLevel"/>
    <w:tmpl w:val="14514B8E"/>
    <w:lvl w:ilvl="0" w:tentative="0">
      <w:start w:val="2"/>
      <w:numFmt w:val="chineseCounting"/>
      <w:suff w:val="nothing"/>
      <w:lvlText w:val="%1、"/>
      <w:lvlJc w:val="left"/>
      <w:rPr>
        <w:rFonts w:hint="eastAsia"/>
      </w:rPr>
    </w:lvl>
  </w:abstractNum>
  <w:abstractNum w:abstractNumId="3">
    <w:nsid w:val="28B5A507"/>
    <w:multiLevelType w:val="singleLevel"/>
    <w:tmpl w:val="28B5A507"/>
    <w:lvl w:ilvl="0" w:tentative="0">
      <w:start w:val="1"/>
      <w:numFmt w:val="decimal"/>
      <w:lvlText w:val="%1."/>
      <w:lvlJc w:val="left"/>
      <w:pPr>
        <w:tabs>
          <w:tab w:val="left" w:pos="312"/>
        </w:tabs>
      </w:pPr>
    </w:lvl>
  </w:abstractNum>
  <w:abstractNum w:abstractNumId="4">
    <w:nsid w:val="329E86EA"/>
    <w:multiLevelType w:val="singleLevel"/>
    <w:tmpl w:val="329E86EA"/>
    <w:lvl w:ilvl="0" w:tentative="0">
      <w:start w:val="1"/>
      <w:numFmt w:val="decimal"/>
      <w:suff w:val="nothing"/>
      <w:lvlText w:val="%1、"/>
      <w:lvlJc w:val="left"/>
    </w:lvl>
  </w:abstractNum>
  <w:abstractNum w:abstractNumId="5">
    <w:nsid w:val="535FCD95"/>
    <w:multiLevelType w:val="singleLevel"/>
    <w:tmpl w:val="535FCD95"/>
    <w:lvl w:ilvl="0" w:tentative="0">
      <w:start w:val="2"/>
      <w:numFmt w:val="decimal"/>
      <w:suff w:val="nothing"/>
      <w:lvlText w:val="（%1）"/>
      <w:lvlJc w:val="left"/>
      <w:pPr>
        <w:ind w:left="450" w:leftChars="0" w:firstLine="0" w:firstLineChars="0"/>
      </w:pPr>
    </w:lvl>
  </w:abstractNum>
  <w:abstractNum w:abstractNumId="6">
    <w:nsid w:val="60352C62"/>
    <w:multiLevelType w:val="singleLevel"/>
    <w:tmpl w:val="60352C62"/>
    <w:lvl w:ilvl="0" w:tentative="0">
      <w:start w:val="3"/>
      <w:numFmt w:val="decimal"/>
      <w:suff w:val="nothing"/>
      <w:lvlText w:val="（%1）"/>
      <w:lvlJc w:val="left"/>
      <w:pPr>
        <w:ind w:left="450" w:leftChars="0" w:firstLine="0" w:firstLineChars="0"/>
      </w:pPr>
    </w:lvl>
  </w:abstractNum>
  <w:num w:numId="1">
    <w:abstractNumId w:val="1"/>
  </w:num>
  <w:num w:numId="2">
    <w:abstractNumId w:val="3"/>
  </w:num>
  <w:num w:numId="3">
    <w:abstractNumId w:val="0"/>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042532"/>
    <w:rsid w:val="004A0991"/>
    <w:rsid w:val="0285752C"/>
    <w:rsid w:val="03036A1F"/>
    <w:rsid w:val="035C643E"/>
    <w:rsid w:val="041970AA"/>
    <w:rsid w:val="04243056"/>
    <w:rsid w:val="09D766C9"/>
    <w:rsid w:val="0A6C58BE"/>
    <w:rsid w:val="0A72525E"/>
    <w:rsid w:val="10C04D6E"/>
    <w:rsid w:val="11007ABC"/>
    <w:rsid w:val="12184C9E"/>
    <w:rsid w:val="12852A2D"/>
    <w:rsid w:val="15C97E2A"/>
    <w:rsid w:val="17564FC9"/>
    <w:rsid w:val="1A0A52F6"/>
    <w:rsid w:val="1E496C9A"/>
    <w:rsid w:val="244211B9"/>
    <w:rsid w:val="267B7527"/>
    <w:rsid w:val="2A332407"/>
    <w:rsid w:val="2B7169D7"/>
    <w:rsid w:val="2B7806D3"/>
    <w:rsid w:val="2B8E625F"/>
    <w:rsid w:val="2D4D1147"/>
    <w:rsid w:val="2E08792D"/>
    <w:rsid w:val="33285125"/>
    <w:rsid w:val="335456A7"/>
    <w:rsid w:val="343B4864"/>
    <w:rsid w:val="370F0C02"/>
    <w:rsid w:val="376519F4"/>
    <w:rsid w:val="3A042532"/>
    <w:rsid w:val="3CCE64EB"/>
    <w:rsid w:val="3EDF0F72"/>
    <w:rsid w:val="3FE506FE"/>
    <w:rsid w:val="40087116"/>
    <w:rsid w:val="401B5497"/>
    <w:rsid w:val="40EF0A43"/>
    <w:rsid w:val="41644228"/>
    <w:rsid w:val="42DA328F"/>
    <w:rsid w:val="430512D1"/>
    <w:rsid w:val="449D4183"/>
    <w:rsid w:val="44EA228A"/>
    <w:rsid w:val="454937F4"/>
    <w:rsid w:val="4A0B6909"/>
    <w:rsid w:val="50316481"/>
    <w:rsid w:val="52AE4010"/>
    <w:rsid w:val="52BB16B0"/>
    <w:rsid w:val="53867390"/>
    <w:rsid w:val="53875D4A"/>
    <w:rsid w:val="54271E90"/>
    <w:rsid w:val="542D57BB"/>
    <w:rsid w:val="563B00EF"/>
    <w:rsid w:val="56754744"/>
    <w:rsid w:val="586168C6"/>
    <w:rsid w:val="595D691A"/>
    <w:rsid w:val="5B0E3D5A"/>
    <w:rsid w:val="5B8C2CBE"/>
    <w:rsid w:val="60AA11F5"/>
    <w:rsid w:val="60F522B9"/>
    <w:rsid w:val="64CA0284"/>
    <w:rsid w:val="65363650"/>
    <w:rsid w:val="656D3DFD"/>
    <w:rsid w:val="66D12488"/>
    <w:rsid w:val="684B43EA"/>
    <w:rsid w:val="68DB2EEB"/>
    <w:rsid w:val="69C5776C"/>
    <w:rsid w:val="69F373BF"/>
    <w:rsid w:val="6BF83753"/>
    <w:rsid w:val="6C4162B3"/>
    <w:rsid w:val="6E2754FB"/>
    <w:rsid w:val="6EAB1591"/>
    <w:rsid w:val="6EC31DE1"/>
    <w:rsid w:val="6ED34FD9"/>
    <w:rsid w:val="6F230AB6"/>
    <w:rsid w:val="70995BDA"/>
    <w:rsid w:val="70B30293"/>
    <w:rsid w:val="70F751B1"/>
    <w:rsid w:val="786E78D6"/>
    <w:rsid w:val="79E77DA8"/>
    <w:rsid w:val="7C831A6A"/>
    <w:rsid w:val="7F3C2076"/>
    <w:rsid w:val="7F932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character" w:styleId="3">
    <w:name w:val="Hyperlink"/>
    <w:basedOn w:val="2"/>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2019-11-23T05:43:00Z</dcterms:created>
  <dc:creator>玉环育华教育</dc:creator>
  <cp:lastModifiedBy>Administrator</cp:lastModifiedBy>
  <dcterms:modified xsi:type="dcterms:W3CDTF">2020-02-06T08:02:28Z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