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仿宋_GB2312" w:cs="Times New Roman"/>
          <w:bCs/>
          <w:sz w:val="28"/>
          <w:szCs w:val="28"/>
          <w:u w:val="none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u w:val="none"/>
          <w:lang w:val="en-US" w:eastAsia="zh-CN"/>
        </w:rPr>
        <w:t>19级旅游景区管理（专升本）复习资料</w:t>
      </w:r>
      <w:r>
        <w:rPr>
          <w:rFonts w:ascii="Times New Roman" w:hAnsi="Times New Roman" w:eastAsia="仿宋_GB2312" w:cs="Times New Roman"/>
          <w:bCs/>
          <w:sz w:val="28"/>
          <w:szCs w:val="28"/>
          <w:u w:val="none"/>
        </w:rPr>
        <w:t xml:space="preserve"> 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单项选择提（本大题共20小题，每小题1分，共20分）</w:t>
      </w:r>
    </w:p>
    <w:p>
      <w:pPr>
        <w:pStyle w:val="2"/>
        <w:keepNext w:val="0"/>
        <w:keepLines w:val="0"/>
        <w:pageBreakBefore w:val="0"/>
        <w:tabs>
          <w:tab w:val="left" w:pos="2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1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、黔东南以苗族、侗族等少数民族风情为主体的人文旅游资源，其吸引向性主要是【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】</w:t>
      </w:r>
    </w:p>
    <w:p>
      <w:pPr>
        <w:pStyle w:val="2"/>
        <w:keepNext w:val="0"/>
        <w:keepLines w:val="0"/>
        <w:pageBreakBefore w:val="0"/>
        <w:tabs>
          <w:tab w:val="left" w:pos="3532"/>
          <w:tab w:val="left" w:pos="5642"/>
          <w:tab w:val="left" w:pos="77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3"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pacing w:val="-2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、全国性B、国际海外性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6"/>
          <w:sz w:val="21"/>
          <w:szCs w:val="21"/>
        </w:rPr>
        <w:t>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、本地区向性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、少数民族向性</w:t>
      </w:r>
    </w:p>
    <w:p>
      <w:pPr>
        <w:pStyle w:val="2"/>
        <w:keepNext w:val="0"/>
        <w:keepLines w:val="0"/>
        <w:pageBreakBefore w:val="0"/>
        <w:tabs>
          <w:tab w:val="left" w:pos="3532"/>
          <w:tab w:val="left" w:pos="5642"/>
          <w:tab w:val="left" w:pos="77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3" w:line="40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1"/>
          <w:sz w:val="21"/>
          <w:szCs w:val="21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、旅游资源开发和规划的决定因素是【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】</w:t>
      </w:r>
    </w:p>
    <w:p>
      <w:pPr>
        <w:pStyle w:val="2"/>
        <w:keepNext w:val="0"/>
        <w:keepLines w:val="0"/>
        <w:pageBreakBefore w:val="0"/>
        <w:tabs>
          <w:tab w:val="left" w:pos="2000"/>
          <w:tab w:val="left" w:pos="3298"/>
          <w:tab w:val="left" w:pos="8364"/>
          <w:tab w:val="left" w:pos="12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line="400" w:lineRule="exact"/>
        <w:ind w:right="218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pacing w:val="-1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、作为决策者、管理者的人的科学化和现代化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tabs>
          <w:tab w:val="left" w:pos="2000"/>
          <w:tab w:val="left" w:pos="3298"/>
          <w:tab w:val="left" w:pos="8364"/>
          <w:tab w:val="left" w:pos="12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line="400" w:lineRule="exact"/>
        <w:ind w:right="218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旅游资源的民族化、时代化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tabs>
          <w:tab w:val="left" w:pos="2000"/>
          <w:tab w:val="left" w:pos="3298"/>
          <w:tab w:val="left" w:pos="8364"/>
          <w:tab w:val="left" w:pos="12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line="400" w:lineRule="exact"/>
        <w:ind w:left="107" w:leftChars="0" w:right="218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区位交</w:t>
      </w:r>
      <w:r>
        <w:rPr>
          <w:rFonts w:hint="eastAsia" w:asciiTheme="minorEastAsia" w:hAnsiTheme="minorEastAsia" w:eastAsiaTheme="minorEastAsia" w:cstheme="minorEastAsia"/>
          <w:spacing w:val="-17"/>
          <w:sz w:val="21"/>
          <w:szCs w:val="21"/>
        </w:rPr>
        <w:t>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的便利化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tabs>
          <w:tab w:val="left" w:pos="2000"/>
          <w:tab w:val="left" w:pos="3298"/>
          <w:tab w:val="left" w:pos="8364"/>
          <w:tab w:val="left" w:pos="12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line="400" w:lineRule="exact"/>
        <w:ind w:left="107" w:leftChars="0" w:right="218" w:right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spacing w:val="-3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、旅游者与当地居民的协调化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pacing w:val="-17"/>
          <w:position w:val="2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position w:val="2"/>
          <w:sz w:val="21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position w:val="2"/>
          <w:sz w:val="21"/>
          <w:szCs w:val="21"/>
        </w:rPr>
        <w:t>国务院发布《风景名胜区管理暂行条例》的时间是【</w:t>
      </w:r>
      <w:r>
        <w:rPr>
          <w:rFonts w:hint="eastAsia" w:asciiTheme="minorEastAsia" w:hAnsiTheme="minorEastAsia" w:eastAsiaTheme="minorEastAsia" w:cstheme="minorEastAsia"/>
          <w:position w:val="2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-17"/>
          <w:position w:val="2"/>
          <w:sz w:val="21"/>
          <w:szCs w:val="21"/>
        </w:rPr>
        <w:t>】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、1980 年 B、1982 年 C、1983 年 D、1984 年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4、按照属性分类，京剧表演、杂技表演、烹饪表演等属于【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、风景型自然旅游资源系列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B、劳务型人文旅游资源系列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C、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固态型人文旅游资源系列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D、动态型人文旅游资源系列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5、旅游资源评价的基础是【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、旅游资源调查   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B、旅游资源开发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C、旅游线路设计    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D、旅游市场调查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6、在旅游区划时，可以突出某种类型的旅游资源作为划分的主要依据。这体现的区划原则是级密 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、综合性整体性原则    B、相似性原则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C、主导因素原则         D、完整性原则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7、太平洋亚洲旅行协会的英文缩写是【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、IHA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 ASTA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C、PATA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D、ETC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8、旅客来源越集中，客源地的地理集中指数越接近【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、0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B、50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C、100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D、-50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9、由于旅游供给长期不足而产生的饱和是【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非季节性饱和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B、季节性饱和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C、风景点饱和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D、生态饱和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10、一般来说，可能对设施带来破坏性很大后果的是【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、短期的饱和和超载     B、周期的饱和和超载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C、偶发性的饱和和超载    D、长期的饱和和超载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11、旅游投资地的自然地理环境、自然与人文旅游资源环境属于【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A、区位环境 B、物质环境 C、社会环境 D、经济环境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12、除了筹集资金和决策投资盈亏外，决定旅游区各部门能否协调发展的是【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A、投资的结果 B、投资的结构 C、投资的方式 D、投资的多少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13、写一份记叙性材料，描述一个员工的所长、所短、过去的绩效和潜能等，然后提出予以改进和提高的意见。这种绩效评估法为【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A、书面描述法 B、关键事件法 C、评分法 D、多人比较法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14、旅游区决策的关键步骤，也是总体规划的前提是【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A、资源与市场调查阶段    B、评估与可行性论证阶段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C、总体规划阶段          D、规划实施和管理阶段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15、在旅游区用地规划中，旅游饭店用地属于【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A、旅游专项设施用地       B、公用设施用地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C、管理与居民用地         D、旅游加工与农副业用地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16、下列线路类型中属于小尺度线路的是【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A、洲际旅游线路      B、周边旅游线路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C、国内旅游线路      D、区内旅游线路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17、以下地区中，资源、区位条件、区域经济基础最好的是【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A、上海   B、成都   C、秦皇岛    D、武汉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18、名山风景区的步行道路的布设功能不包括【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A、宗教活动的功能       B、交通运输的功能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C、组织景观的功能       D、摆摊设点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19、以航片或卫星影像为底图经过加工制作而成的是【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A、平面图   B、立体图   C、遥感影像图   D、区位图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20、地图上的东、南、西、北方向指的是【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A、图名   B、方位   C、经纬度    D、图例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21、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我国第一个旅游黄金周始于 ________的国庆节。（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A.1998 年 B.1999 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C.2000 年 D.2001 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22、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旅游的客体是指（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旅游者 B. 旅游资源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C.旅游业 D.管理人员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23、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旅游规划与项目开发规划是相对的（ ）的关系。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微观与宏观 B. 整体与全局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C.宏观与微观 D.全局与整体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24、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迄今为止，为大家广泛认可的可持续发展的概念“可持续发展是指既满足当代人的需要，又不对后代人满足其自身需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求的能力产生威胁的发展”是由（ ）提出的。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美国总统克林顿 B. 英国首相撒切尔夫人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C.法国总统密特朗 D.挪威首相布伦兰特夫人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25、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具有组团规模大、消费档次高、停留时间长、季节性弱、利润丰厚等特点的旅游形式是（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会展旅游 B. 假日旅游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C.生态旅游 D.都市旅游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二、多项选择题（本大题共 5 小题，每小题 2 分，共 10 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1、按照旅游资源利用程度，旅游区规划可划分为【  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A、远景规划     B、近期规划      C、潜在旅游资源区规划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D、现有旅游区规划       E、全国旅游规划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2、旅游资源定量评价中综合因子评价法主要包括的方法有【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A、层次分析法    B、综合评价法     C、指数表示法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D、康乐气候定量评价        E、模糊数学法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3、投资环境中风险因素有【 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A、政治风险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B、经济风险 C、法律法规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 社会风险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E、自然风险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4、总体规划大纲的内容一般包括【 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A、规划目标         B、项目可行性分析      C、综述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D、专题规划设计     E、图件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5、以下属于动态旅游信息的有【     】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A、幻灯片     B、计算机软件     C、交通工具宣传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D、广播宣传   E、电影片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6、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与常规的观光度假旅游相比，会展旅游具有 ________等特点，因而享有“旅游皇冠上的宝石”的美称。 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消费档次高 B. 季节性弱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C.组团规模大 D.利润丰厚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E. 停留时间长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7、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假日旅游的规划应侧重于 ________等方面。（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假日家庭娱乐活动的开发 B. 假日旅游等级划分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C.假日旅游产品多元化开发 D.假日旅游辅助服务设施规划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E. 假日旅游营销渠道规划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8、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旅游资源定性评价法有（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六字七标准评价法 B. 三三六评价法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C.技术性的单因子评价法 D. 指数评价法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E. 美感质量评价法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9、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佛教传入中国后形成的主要系统有（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藏传佛教 B. 汉地佛教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C.云南上座部佛教 D. 朝鲜佛教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E. 傣教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10、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我国特有的动物有（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A. 几维鸟 B. 金丝猴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C.白唇鹿 D. 鸭嘴兽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E. 鸵鸟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三、填空题（本大题共 10 小题，每小题 1 分，共 10 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26、自然景观中各类用地规划与设计要严格遵循与自然景观相协调的“三宜三不宜”原则，即：宜低不宜高、宜散不宜聚和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27、投资方案的优化关键是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28、接待游客动量与接待地人口的比值被称为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hanging="630" w:hanging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29、对旅游区市场中原始资料的定性研究方法的具体方式有：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none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小组讨论和案例研究。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30、一般情况下往往由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和设施容量决定旅游区容量。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31、投资软环境是内在的投资条件，也称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32、旅游区筹资方式包括借入资本和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33、按旅游过程可以分为全程旅游线路和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34、旅游设施包括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和公共基础设施两大系统。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35、反映旅游地图内容的最基本要素是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四、名词解释（本大题共 5 小题，每小题 3 分，共 15 分）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36、普查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旅游感知容量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38、职务评估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39、旅游资源要素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40、人员调配 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简答题（本大题共 5 小题，每小题 5 分，共 25 分）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41、旅游资源按其成因可以分为哪几类？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42、旅游地按其功能可以分为哪几类？、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43、旅游投资主体的主要类型有哪些？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44、广义的旅游线路包括哪些内容？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一副完整规范的旅游地图应包括哪些内容？ 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论述题 （本大题共 2 小题，每小题 10 分，共 20 分）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专家咨询法（ DELPHI 法）的工作步骤有哪些？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47、试述旅欧线路设计的原则与步骤？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仿宋_GB2312" w:cs="Times New Roman"/>
          <w:bCs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u w:val="none"/>
          <w:lang w:val="en-US" w:eastAsia="zh-CN"/>
        </w:rPr>
        <w:t>旅游景区管理（专升本）复习资料参考答案</w:t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一、单项选择题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1B 2A 3D 4B 5A 6C 7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8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9A 10D 11A 12B 13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14B 15A 16D 17A 18D 19C 20B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21-25：A C C D A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多项选择题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 CD 2 ABC 3 ABCDE 4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5 BCDE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6ABC 7BC 8ACD 9AC 10ABCD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MT" w:hAnsi="ArialMT" w:eastAsia="ArialMT" w:cs="ArialMT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MT" w:hAnsi="ArialMT" w:eastAsia="ArialMT" w:cs="ArialMT"/>
          <w:color w:val="000000"/>
          <w:kern w:val="0"/>
          <w:sz w:val="21"/>
          <w:szCs w:val="21"/>
          <w:lang w:val="en-US" w:eastAsia="zh-CN" w:bidi="ar"/>
        </w:rPr>
        <w:t>三、填空题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2513965</wp:posOffset>
                </wp:positionV>
                <wp:extent cx="4867275" cy="275590"/>
                <wp:effectExtent l="0" t="0" r="9525" b="1016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18260" y="5013325"/>
                          <a:ext cx="4867275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55pt;margin-top:197.95pt;height:21.7pt;width:383.25pt;z-index:251661312;mso-width-relative:page;mso-height-relative:page;" fillcolor="#FFFFFF [3201]" filled="t" stroked="f" coordsize="21600,21600" o:gfxdata="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lWVJbVAAAACQEAAA8AAAAAAAAAAQAgAAAAIgAAAGRy&#10;cy9kb3ducmV2LnhtbFBLAQIUABQAAAAIAIdO4kCMlwuhQQIAAE0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98425</wp:posOffset>
                </wp:positionV>
                <wp:extent cx="904875" cy="209550"/>
                <wp:effectExtent l="4445" t="4445" r="5080" b="146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9385" y="3517265"/>
                          <a:ext cx="9048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55pt;margin-top:7.75pt;height:16.5pt;width:71.25pt;z-index:251660288;mso-width-relative:page;mso-height-relative:page;" fillcolor="#FFFFFF [3201]" filled="t" stroked="t" coordsize="21600,21600" o:gfxdata="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p8X2jWAAAACQEAAA8AAAAAAAAAAQAg&#10;AAAAIgAAAGRycy9kb3ducmV2LnhtbFBLAQIUABQAAAAIAIdO4kDkLby4SQIAAHQEAAAOAAAAAAAA&#10;AAEAIAAAACUBAABkcnMvZTJvRG9jLnhtbFBLBQYAAAAABgAGAFkBAADg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3270885</wp:posOffset>
                </wp:positionH>
                <wp:positionV relativeFrom="paragraph">
                  <wp:posOffset>301625</wp:posOffset>
                </wp:positionV>
                <wp:extent cx="495300" cy="20955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13885" y="3593465"/>
                          <a:ext cx="4953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7.55pt;margin-top:23.75pt;height:16.5pt;width:39pt;z-index:251658240;mso-width-relative:page;mso-height-relative:page;" fillcolor="#FFFFFF [3201]" filled="t" stroked="t" coordsize="21600,21600" o:gfxdata="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Fr4W7XAAAACQEAAA8AAAAAAAAAAQAg&#10;AAAAIgAAAGRycy9kb3ducmV2LnhtbFBLAQIUABQAAAAIAIdO4kBy/WJ8SAIAAHQEAAAOAAAAAAAA&#10;AAEAIAAAACYBAABkcnMvZTJvRG9jLnhtbFBLBQYAAAAABgAGAFkBAADg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095875" cy="280987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581275" cy="168592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789805" cy="5143500"/>
            <wp:effectExtent l="0" t="0" r="10795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980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057775" cy="1247775"/>
            <wp:effectExtent l="0" t="0" r="9525" b="952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391150" cy="1857375"/>
            <wp:effectExtent l="0" t="0" r="0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pacing w:val="-17"/>
          <w:position w:val="2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0DD165"/>
    <w:multiLevelType w:val="singleLevel"/>
    <w:tmpl w:val="A70DD16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AD8645"/>
    <w:multiLevelType w:val="singleLevel"/>
    <w:tmpl w:val="A9AD8645"/>
    <w:lvl w:ilvl="0" w:tentative="0">
      <w:start w:val="2"/>
      <w:numFmt w:val="upperLetter"/>
      <w:suff w:val="nothing"/>
      <w:lvlText w:val="%1、"/>
      <w:lvlJc w:val="left"/>
    </w:lvl>
  </w:abstractNum>
  <w:abstractNum w:abstractNumId="2">
    <w:nsid w:val="21B04A53"/>
    <w:multiLevelType w:val="singleLevel"/>
    <w:tmpl w:val="21B04A53"/>
    <w:lvl w:ilvl="0" w:tentative="0">
      <w:start w:val="37"/>
      <w:numFmt w:val="decimal"/>
      <w:suff w:val="nothing"/>
      <w:lvlText w:val="%1、"/>
      <w:lvlJc w:val="left"/>
    </w:lvl>
  </w:abstractNum>
  <w:abstractNum w:abstractNumId="3">
    <w:nsid w:val="311E10DE"/>
    <w:multiLevelType w:val="singleLevel"/>
    <w:tmpl w:val="311E10D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7EE6052"/>
    <w:multiLevelType w:val="singleLevel"/>
    <w:tmpl w:val="77EE6052"/>
    <w:lvl w:ilvl="0" w:tentative="0">
      <w:start w:val="45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B5360"/>
    <w:rsid w:val="098B5D96"/>
    <w:rsid w:val="0ACB5360"/>
    <w:rsid w:val="0C422BEB"/>
    <w:rsid w:val="0DB36B92"/>
    <w:rsid w:val="3BE517AE"/>
    <w:rsid w:val="40425964"/>
    <w:rsid w:val="44D92C5D"/>
    <w:rsid w:val="56FC00BD"/>
    <w:rsid w:val="5CF762E1"/>
    <w:rsid w:val="66387513"/>
    <w:rsid w:val="6AE8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7"/>
    </w:pPr>
    <w:rPr>
      <w:rFonts w:ascii="宋体" w:hAnsi="宋体" w:eastAsia="宋体" w:cs="宋体"/>
      <w:sz w:val="27"/>
      <w:szCs w:val="27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2019-12-04T05:24:00Z</dcterms:created>
  <dc:creator>育华教育玉环客服</dc:creator>
  <cp:lastModifiedBy>AA.小树苗她爹</cp:lastModifiedBy>
  <dcterms:modified xsi:type="dcterms:W3CDTF">2019-12-08T05:28:12Z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