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D6D9C">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6" w:afterAutospacing="0"/>
        <w:ind w:left="0" w:right="0"/>
        <w:jc w:val="center"/>
        <w:rPr>
          <w:b w:val="0"/>
          <w:bCs w:val="0"/>
          <w:color w:val="222D44"/>
          <w:sz w:val="33"/>
          <w:szCs w:val="33"/>
        </w:rPr>
      </w:pPr>
      <w:r>
        <w:rPr>
          <w:b w:val="0"/>
          <w:bCs w:val="0"/>
          <w:color w:val="222D44"/>
          <w:sz w:val="33"/>
          <w:szCs w:val="33"/>
          <w:bdr w:val="none" w:color="auto" w:sz="0" w:space="0"/>
        </w:rPr>
        <w:t>24秋机械设计基础期末A卷</w:t>
      </w:r>
    </w:p>
    <w:p w14:paraId="4B5CE3D0">
      <w:pPr>
        <w:keepNext w:val="0"/>
        <w:keepLines w:val="0"/>
        <w:widowControl/>
        <w:suppressLineNumbers w:val="0"/>
        <w:wordWrap/>
        <w:spacing w:after="225" w:afterAutospacing="0" w:line="600" w:lineRule="atLeast"/>
        <w:jc w:val="center"/>
        <w:rPr>
          <w:color w:val="AAB6CC"/>
          <w:sz w:val="19"/>
          <w:szCs w:val="19"/>
        </w:rPr>
      </w:pPr>
      <w:r>
        <w:rPr>
          <w:rFonts w:ascii="宋体" w:hAnsi="宋体" w:eastAsia="宋体" w:cs="宋体"/>
          <w:color w:val="66AAFF"/>
          <w:kern w:val="0"/>
          <w:sz w:val="27"/>
          <w:szCs w:val="27"/>
          <w:lang w:val="en-US" w:eastAsia="zh-CN" w:bidi="ar"/>
        </w:rPr>
        <w:t>24</w:t>
      </w:r>
      <w:r>
        <w:rPr>
          <w:rFonts w:ascii="宋体" w:hAnsi="宋体" w:eastAsia="宋体" w:cs="宋体"/>
          <w:color w:val="AAB6CC"/>
          <w:kern w:val="0"/>
          <w:sz w:val="19"/>
          <w:szCs w:val="19"/>
          <w:lang w:val="en-US" w:eastAsia="zh-CN" w:bidi="ar"/>
        </w:rPr>
        <w:t> 题 </w:t>
      </w:r>
      <w:r>
        <w:rPr>
          <w:rFonts w:ascii="宋体" w:hAnsi="宋体" w:eastAsia="宋体" w:cs="宋体"/>
          <w:i w:val="0"/>
          <w:iCs w:val="0"/>
          <w:color w:val="D6DBE0"/>
          <w:kern w:val="0"/>
          <w:sz w:val="16"/>
          <w:szCs w:val="16"/>
          <w:lang w:val="en-US" w:eastAsia="zh-CN" w:bidi="ar"/>
        </w:rPr>
        <w:t>|</w:t>
      </w:r>
      <w:r>
        <w:rPr>
          <w:rFonts w:ascii="宋体" w:hAnsi="宋体" w:eastAsia="宋体" w:cs="宋体"/>
          <w:color w:val="FF6666"/>
          <w:kern w:val="0"/>
          <w:sz w:val="27"/>
          <w:szCs w:val="27"/>
          <w:lang w:val="en-US" w:eastAsia="zh-CN" w:bidi="ar"/>
        </w:rPr>
        <w:t>100</w:t>
      </w:r>
      <w:r>
        <w:rPr>
          <w:rFonts w:ascii="宋体" w:hAnsi="宋体" w:eastAsia="宋体" w:cs="宋体"/>
          <w:color w:val="AAB6CC"/>
          <w:kern w:val="0"/>
          <w:sz w:val="19"/>
          <w:szCs w:val="19"/>
          <w:lang w:val="en-US" w:eastAsia="zh-CN" w:bidi="ar"/>
        </w:rPr>
        <w:t> 分</w:t>
      </w:r>
    </w:p>
    <w:p w14:paraId="3721BF9D">
      <w:pPr>
        <w:keepNext w:val="0"/>
        <w:keepLines w:val="0"/>
        <w:widowControl/>
        <w:suppressLineNumbers w:val="0"/>
        <w:shd w:val="clear" w:fill="EEF0F6"/>
        <w:wordWrap/>
        <w:spacing w:before="225" w:beforeAutospacing="0" w:after="225" w:afterAutospacing="0" w:line="375" w:lineRule="atLeast"/>
        <w:ind w:left="0" w:right="0"/>
        <w:jc w:val="center"/>
        <w:rPr>
          <w:color w:val="AAB6CC"/>
          <w:sz w:val="18"/>
          <w:szCs w:val="18"/>
        </w:rPr>
      </w:pPr>
      <w:r>
        <w:rPr>
          <w:rFonts w:ascii="宋体" w:hAnsi="宋体" w:eastAsia="宋体" w:cs="宋体"/>
          <w:color w:val="AAB6CC"/>
          <w:kern w:val="0"/>
          <w:sz w:val="18"/>
          <w:szCs w:val="18"/>
          <w:shd w:val="clear" w:fill="EEF0F6"/>
          <w:lang w:val="en-US" w:eastAsia="zh-CN" w:bidi="ar"/>
        </w:rPr>
        <w:t>收起全部</w:t>
      </w:r>
    </w:p>
    <w:p w14:paraId="67E336DA">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一.  单选题</w:t>
      </w:r>
      <w:r>
        <w:rPr>
          <w:rFonts w:hint="eastAsia" w:ascii="宋体" w:hAnsi="宋体" w:eastAsia="宋体" w:cs="宋体"/>
          <w:b w:val="0"/>
          <w:bCs w:val="0"/>
          <w:i w:val="0"/>
          <w:iCs w:val="0"/>
          <w:color w:val="BBC3CC"/>
          <w:kern w:val="0"/>
          <w:sz w:val="19"/>
          <w:szCs w:val="19"/>
          <w:lang w:val="en-US" w:eastAsia="zh-CN" w:bidi="ar"/>
        </w:rPr>
        <w:t>（每题2分，共10题，总分值20分）</w:t>
      </w:r>
    </w:p>
    <w:p w14:paraId="55CBEFE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1. </w:t>
      </w:r>
    </w:p>
    <w:p w14:paraId="288497E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    )是运动的单元。</w:t>
      </w:r>
    </w:p>
    <w:p w14:paraId="58B4A460">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187E94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315B78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零件</w:t>
      </w:r>
    </w:p>
    <w:p w14:paraId="7D0ECC0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1C99B4A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部件</w:t>
      </w:r>
    </w:p>
    <w:p w14:paraId="355ED33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780C365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构件</w:t>
      </w:r>
    </w:p>
    <w:p w14:paraId="452A185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9A7325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合件。</w:t>
      </w:r>
    </w:p>
    <w:p w14:paraId="231342A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3B8276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622F51D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0A20CDD">
      <w:pPr>
        <w:keepNext w:val="0"/>
        <w:keepLines w:val="0"/>
        <w:widowControl/>
        <w:numPr>
          <w:ilvl w:val="0"/>
          <w:numId w:val="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7DABF19">
      <w:pPr>
        <w:keepNext w:val="0"/>
        <w:keepLines w:val="0"/>
        <w:widowControl/>
        <w:numPr>
          <w:ilvl w:val="0"/>
          <w:numId w:val="1"/>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6605537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2. </w:t>
      </w:r>
    </w:p>
    <w:p w14:paraId="3E1EA34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两构件直接接触并能产生一定相对运动的连接称为(    )。</w:t>
      </w:r>
    </w:p>
    <w:p w14:paraId="7C6DF284">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9CC5C6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3E8471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运动副</w:t>
      </w:r>
    </w:p>
    <w:p w14:paraId="3C1FE9C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1CA47A1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驱动副</w:t>
      </w:r>
    </w:p>
    <w:p w14:paraId="137AEDD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C9FAEA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从动副</w:t>
      </w:r>
    </w:p>
    <w:p w14:paraId="74D684A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2F4A4F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主动件。</w:t>
      </w:r>
    </w:p>
    <w:p w14:paraId="603C63B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005EC5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2F2D270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7F3DD03">
      <w:pPr>
        <w:keepNext w:val="0"/>
        <w:keepLines w:val="0"/>
        <w:widowControl/>
        <w:numPr>
          <w:ilvl w:val="0"/>
          <w:numId w:val="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123DD66">
      <w:pPr>
        <w:keepNext w:val="0"/>
        <w:keepLines w:val="0"/>
        <w:widowControl/>
        <w:numPr>
          <w:ilvl w:val="0"/>
          <w:numId w:val="2"/>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4560D32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3. </w:t>
      </w:r>
    </w:p>
    <w:p w14:paraId="3F0CFD8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机构中有些构件所具有的自由度只与该构件自身的局部运动有关，不影响其他构件的运动，这种自由度称为(    )。</w:t>
      </w:r>
    </w:p>
    <w:p w14:paraId="720567A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DA8421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6A209E7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复合铰链</w:t>
      </w:r>
    </w:p>
    <w:p w14:paraId="6CEC6B1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DBF325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局部自由度</w:t>
      </w:r>
    </w:p>
    <w:p w14:paraId="7CC01FB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171B9FF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虚约束</w:t>
      </w:r>
    </w:p>
    <w:p w14:paraId="5EE2D65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AB8C03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1899097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680DC27">
      <w:pPr>
        <w:keepNext w:val="0"/>
        <w:keepLines w:val="0"/>
        <w:widowControl/>
        <w:numPr>
          <w:ilvl w:val="0"/>
          <w:numId w:val="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1656AB3">
      <w:pPr>
        <w:keepNext w:val="0"/>
        <w:keepLines w:val="0"/>
        <w:widowControl/>
        <w:numPr>
          <w:ilvl w:val="0"/>
          <w:numId w:val="3"/>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25A8015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4. </w:t>
      </w:r>
    </w:p>
    <w:p w14:paraId="6617A59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曲柄摇杆机构中曲柄的长度(    )。</w:t>
      </w:r>
    </w:p>
    <w:p w14:paraId="4163A5DA">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37EBD7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49184A1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最长最短</w:t>
      </w:r>
    </w:p>
    <w:p w14:paraId="71734E0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D1243C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大于摇杆的长度</w:t>
      </w:r>
    </w:p>
    <w:p w14:paraId="45440BC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13C7C5C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大于连杆的长度</w:t>
      </w:r>
    </w:p>
    <w:p w14:paraId="359FE7E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1A80FD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6EC62A1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AA4D2B5">
      <w:pPr>
        <w:keepNext w:val="0"/>
        <w:keepLines w:val="0"/>
        <w:widowControl/>
        <w:numPr>
          <w:ilvl w:val="0"/>
          <w:numId w:val="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7AD1306">
      <w:pPr>
        <w:keepNext w:val="0"/>
        <w:keepLines w:val="0"/>
        <w:widowControl/>
        <w:numPr>
          <w:ilvl w:val="0"/>
          <w:numId w:val="4"/>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161F450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5. </w:t>
      </w:r>
    </w:p>
    <w:p w14:paraId="44B55AC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下列选项中是平面四杆机构基本特性的是(    )。</w:t>
      </w:r>
    </w:p>
    <w:p w14:paraId="6DB7DA9D">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DF1EE8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45A2A4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急回特性</w:t>
      </w:r>
    </w:p>
    <w:p w14:paraId="78EDD2C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14AFBA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正变位</w:t>
      </w:r>
    </w:p>
    <w:p w14:paraId="2070E64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A7B436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可分性</w:t>
      </w:r>
    </w:p>
    <w:p w14:paraId="27615E4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DB88AB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负变位</w:t>
      </w:r>
    </w:p>
    <w:p w14:paraId="173C048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41E216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089E10D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74AA569">
      <w:pPr>
        <w:keepNext w:val="0"/>
        <w:keepLines w:val="0"/>
        <w:widowControl/>
        <w:numPr>
          <w:ilvl w:val="0"/>
          <w:numId w:val="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BD8C15F">
      <w:pPr>
        <w:keepNext w:val="0"/>
        <w:keepLines w:val="0"/>
        <w:widowControl/>
        <w:numPr>
          <w:ilvl w:val="0"/>
          <w:numId w:val="5"/>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003D031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6. </w:t>
      </w:r>
    </w:p>
    <w:p w14:paraId="0631BDD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间歇机构的运动特点是(    )。</w:t>
      </w:r>
    </w:p>
    <w:p w14:paraId="7491EC6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D90102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269017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主动轮和从动轮都作连续运动</w:t>
      </w:r>
    </w:p>
    <w:p w14:paraId="15AA0F5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3632031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主动轮和从动轮都作间歇运动</w:t>
      </w:r>
    </w:p>
    <w:p w14:paraId="4969B3A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3C1A087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主动轮作连续运动而从动轮作间歇运动</w:t>
      </w:r>
    </w:p>
    <w:p w14:paraId="3FD5D2C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8F7EAF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主动轮作间歇运动而从动轮作连续运动</w:t>
      </w:r>
    </w:p>
    <w:p w14:paraId="33B17AC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FE8449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1739D75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C97A4FA">
      <w:pPr>
        <w:keepNext w:val="0"/>
        <w:keepLines w:val="0"/>
        <w:widowControl/>
        <w:numPr>
          <w:ilvl w:val="0"/>
          <w:numId w:val="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1D3F305">
      <w:pPr>
        <w:keepNext w:val="0"/>
        <w:keepLines w:val="0"/>
        <w:widowControl/>
        <w:numPr>
          <w:ilvl w:val="0"/>
          <w:numId w:val="6"/>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63FD9DD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7. </w:t>
      </w:r>
    </w:p>
    <w:p w14:paraId="2B9F30B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斜齿轮传动(    )。</w:t>
      </w:r>
    </w:p>
    <w:p w14:paraId="1E68355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3D54BE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82F39B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能用作变速滑移齿轮</w:t>
      </w:r>
    </w:p>
    <w:p w14:paraId="0FCB9A4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E842D3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因承载能力不高，不适宜用于大功率传动</w:t>
      </w:r>
    </w:p>
    <w:p w14:paraId="7137380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D92E64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传动中产生轴向力</w:t>
      </w:r>
    </w:p>
    <w:p w14:paraId="5077A70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FA0547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传动平稳性差</w:t>
      </w:r>
    </w:p>
    <w:p w14:paraId="3C300AE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59559EC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2BAF58F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0440E11">
      <w:pPr>
        <w:keepNext w:val="0"/>
        <w:keepLines w:val="0"/>
        <w:widowControl/>
        <w:numPr>
          <w:ilvl w:val="0"/>
          <w:numId w:val="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B3B24E0">
      <w:pPr>
        <w:keepNext w:val="0"/>
        <w:keepLines w:val="0"/>
        <w:widowControl/>
        <w:numPr>
          <w:ilvl w:val="0"/>
          <w:numId w:val="7"/>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6BA5B1D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8. </w:t>
      </w:r>
    </w:p>
    <w:p w14:paraId="27D7579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等加速等减速运动规律的位移曲线是(    )。</w:t>
      </w:r>
    </w:p>
    <w:p w14:paraId="08278FBB">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313635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48EBF29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斜直线</w:t>
      </w:r>
    </w:p>
    <w:p w14:paraId="35AE876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53C680B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抛物线</w:t>
      </w:r>
    </w:p>
    <w:p w14:paraId="1ECFD7C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F0C796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圆</w:t>
      </w:r>
    </w:p>
    <w:p w14:paraId="5A88FF7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D2701A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正弦曲线</w:t>
      </w:r>
    </w:p>
    <w:p w14:paraId="7FCDB1E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AD32B3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1EDF6A3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37A26FA">
      <w:pPr>
        <w:keepNext w:val="0"/>
        <w:keepLines w:val="0"/>
        <w:widowControl/>
        <w:numPr>
          <w:ilvl w:val="0"/>
          <w:numId w:val="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EDED7A3">
      <w:pPr>
        <w:keepNext w:val="0"/>
        <w:keepLines w:val="0"/>
        <w:widowControl/>
        <w:numPr>
          <w:ilvl w:val="0"/>
          <w:numId w:val="8"/>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212718A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9. </w:t>
      </w:r>
    </w:p>
    <w:p w14:paraId="3B126E6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属于啮合传动类的带传动是(    )。</w:t>
      </w:r>
    </w:p>
    <w:p w14:paraId="683930DB">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F7EEBD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AEABA1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平带传动</w:t>
      </w:r>
    </w:p>
    <w:p w14:paraId="2427F62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36547E3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V带传动</w:t>
      </w:r>
    </w:p>
    <w:p w14:paraId="4899E7E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3F1A238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圆带传动</w:t>
      </w:r>
    </w:p>
    <w:p w14:paraId="5FF7BEC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7A7752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同步传动</w:t>
      </w:r>
    </w:p>
    <w:p w14:paraId="4119E92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11A25D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4DEC57A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624605F">
      <w:pPr>
        <w:keepNext w:val="0"/>
        <w:keepLines w:val="0"/>
        <w:widowControl/>
        <w:numPr>
          <w:ilvl w:val="0"/>
          <w:numId w:val="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34110D7">
      <w:pPr>
        <w:keepNext w:val="0"/>
        <w:keepLines w:val="0"/>
        <w:widowControl/>
        <w:numPr>
          <w:ilvl w:val="0"/>
          <w:numId w:val="9"/>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5887407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10. </w:t>
      </w:r>
    </w:p>
    <w:p w14:paraId="517939F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在实际机械中，由于摩擦的存在以及驱动力作用方向的问题，有时会出现无论驱动力如何增大，机械都无法运转的现象，这种现象称为(    )。</w:t>
      </w:r>
    </w:p>
    <w:p w14:paraId="35C95B6D">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0D40B3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2B78025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死点</w:t>
      </w:r>
    </w:p>
    <w:p w14:paraId="17957F8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EDEDDF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急回特性</w:t>
      </w:r>
    </w:p>
    <w:p w14:paraId="702E1E7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503D78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自锁</w:t>
      </w:r>
    </w:p>
    <w:p w14:paraId="61A2737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26123D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摩擦</w:t>
      </w:r>
    </w:p>
    <w:p w14:paraId="7D81B56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1F812F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2AD32BE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06A1352">
      <w:pPr>
        <w:keepNext w:val="0"/>
        <w:keepLines w:val="0"/>
        <w:widowControl/>
        <w:numPr>
          <w:ilvl w:val="0"/>
          <w:numId w:val="1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50004FA">
      <w:pPr>
        <w:keepNext w:val="0"/>
        <w:keepLines w:val="0"/>
        <w:widowControl/>
        <w:numPr>
          <w:ilvl w:val="0"/>
          <w:numId w:val="10"/>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2DA4CC4D">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二.  填空题</w:t>
      </w:r>
      <w:r>
        <w:rPr>
          <w:rFonts w:hint="eastAsia" w:ascii="宋体" w:hAnsi="宋体" w:eastAsia="宋体" w:cs="宋体"/>
          <w:b w:val="0"/>
          <w:bCs w:val="0"/>
          <w:i w:val="0"/>
          <w:iCs w:val="0"/>
          <w:color w:val="BBC3CC"/>
          <w:kern w:val="0"/>
          <w:sz w:val="19"/>
          <w:szCs w:val="19"/>
          <w:lang w:val="en-US" w:eastAsia="zh-CN" w:bidi="ar"/>
        </w:rPr>
        <w:t>（共9题，总分值30分）</w:t>
      </w:r>
    </w:p>
    <w:p w14:paraId="6EC61D4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11. </w:t>
      </w:r>
    </w:p>
    <w:p w14:paraId="4A1E4A6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机构具有确定运动的条件是</w:t>
      </w:r>
      <w:r>
        <w:rPr>
          <w:rStyle w:val="6"/>
          <w:rFonts w:ascii="宋体" w:hAnsi="宋体" w:eastAsia="宋体" w:cs="宋体"/>
          <w:b w:val="0"/>
          <w:bCs w:val="0"/>
          <w:i w:val="0"/>
          <w:iCs w:val="0"/>
          <w:color w:val="68D467"/>
          <w:kern w:val="0"/>
          <w:sz w:val="24"/>
          <w:szCs w:val="24"/>
          <w:bdr w:val="none" w:color="auto" w:sz="0" w:space="0"/>
          <w:lang w:val="en-US" w:eastAsia="zh-CN" w:bidi="ar"/>
        </w:rPr>
        <w:t>机构的原动件数等于机构的自由度数，且自由度大于0</w:t>
      </w:r>
      <w:r>
        <w:rPr>
          <w:rFonts w:ascii="宋体" w:hAnsi="宋体" w:eastAsia="宋体" w:cs="宋体"/>
          <w:kern w:val="0"/>
          <w:sz w:val="24"/>
          <w:szCs w:val="24"/>
          <w:bdr w:val="none" w:color="auto" w:sz="0" w:space="0"/>
          <w:lang w:val="en-US" w:eastAsia="zh-CN" w:bidi="ar"/>
        </w:rPr>
        <w:t>。</w:t>
      </w:r>
    </w:p>
    <w:p w14:paraId="509B680C">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01C33F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4D0D9B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(1)机构的原动件数等于机构的自由度数，且自由度大于0</w:t>
      </w:r>
    </w:p>
    <w:p w14:paraId="1B6AD33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B2F47A4">
      <w:pPr>
        <w:keepNext w:val="0"/>
        <w:keepLines w:val="0"/>
        <w:widowControl/>
        <w:numPr>
          <w:ilvl w:val="0"/>
          <w:numId w:val="1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AE59AE4">
      <w:pPr>
        <w:keepNext w:val="0"/>
        <w:keepLines w:val="0"/>
        <w:widowControl/>
        <w:numPr>
          <w:ilvl w:val="0"/>
          <w:numId w:val="11"/>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107AA38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12. </w:t>
      </w:r>
    </w:p>
    <w:p w14:paraId="5E55C79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铰链四杆机构的基本型式有</w:t>
      </w:r>
      <w:r>
        <w:rPr>
          <w:rStyle w:val="6"/>
          <w:rFonts w:ascii="宋体" w:hAnsi="宋体" w:eastAsia="宋体" w:cs="宋体"/>
          <w:b w:val="0"/>
          <w:bCs w:val="0"/>
          <w:i w:val="0"/>
          <w:iCs w:val="0"/>
          <w:color w:val="68D467"/>
          <w:kern w:val="0"/>
          <w:sz w:val="24"/>
          <w:szCs w:val="24"/>
          <w:bdr w:val="none" w:color="auto" w:sz="0" w:space="0"/>
          <w:lang w:val="en-US" w:eastAsia="zh-CN" w:bidi="ar"/>
        </w:rPr>
        <w:t>曲柄摇杆机构</w:t>
      </w:r>
      <w:r>
        <w:rPr>
          <w:rFonts w:ascii="宋体" w:hAnsi="宋体" w:eastAsia="宋体" w:cs="宋体"/>
          <w:kern w:val="0"/>
          <w:sz w:val="24"/>
          <w:szCs w:val="24"/>
          <w:bdr w:val="none" w:color="auto" w:sz="0" w:space="0"/>
          <w:lang w:val="en-US" w:eastAsia="zh-CN" w:bidi="ar"/>
        </w:rPr>
        <w:t>、</w:t>
      </w:r>
      <w:r>
        <w:rPr>
          <w:rStyle w:val="6"/>
          <w:rFonts w:ascii="宋体" w:hAnsi="宋体" w:eastAsia="宋体" w:cs="宋体"/>
          <w:b w:val="0"/>
          <w:bCs w:val="0"/>
          <w:i w:val="0"/>
          <w:iCs w:val="0"/>
          <w:color w:val="68D467"/>
          <w:kern w:val="0"/>
          <w:sz w:val="24"/>
          <w:szCs w:val="24"/>
          <w:bdr w:val="none" w:color="auto" w:sz="0" w:space="0"/>
          <w:lang w:val="en-US" w:eastAsia="zh-CN" w:bidi="ar"/>
        </w:rPr>
        <w:t>双曲柄机构</w:t>
      </w:r>
      <w:r>
        <w:rPr>
          <w:rFonts w:ascii="宋体" w:hAnsi="宋体" w:eastAsia="宋体" w:cs="宋体"/>
          <w:kern w:val="0"/>
          <w:sz w:val="24"/>
          <w:szCs w:val="24"/>
          <w:bdr w:val="none" w:color="auto" w:sz="0" w:space="0"/>
          <w:lang w:val="en-US" w:eastAsia="zh-CN" w:bidi="ar"/>
        </w:rPr>
        <w:t>、</w:t>
      </w:r>
      <w:r>
        <w:rPr>
          <w:rStyle w:val="6"/>
          <w:rFonts w:ascii="宋体" w:hAnsi="宋体" w:eastAsia="宋体" w:cs="宋体"/>
          <w:b w:val="0"/>
          <w:bCs w:val="0"/>
          <w:i w:val="0"/>
          <w:iCs w:val="0"/>
          <w:color w:val="68D467"/>
          <w:kern w:val="0"/>
          <w:sz w:val="24"/>
          <w:szCs w:val="24"/>
          <w:bdr w:val="none" w:color="auto" w:sz="0" w:space="0"/>
          <w:lang w:val="en-US" w:eastAsia="zh-CN" w:bidi="ar"/>
        </w:rPr>
        <w:t>双摇杆机构</w:t>
      </w:r>
      <w:r>
        <w:rPr>
          <w:rFonts w:ascii="宋体" w:hAnsi="宋体" w:eastAsia="宋体" w:cs="宋体"/>
          <w:kern w:val="0"/>
          <w:sz w:val="24"/>
          <w:szCs w:val="24"/>
          <w:bdr w:val="none" w:color="auto" w:sz="0" w:space="0"/>
          <w:lang w:val="en-US" w:eastAsia="zh-CN" w:bidi="ar"/>
        </w:rPr>
        <w:t>。</w:t>
      </w:r>
    </w:p>
    <w:p w14:paraId="599B3E9A">
      <w:pPr>
        <w:keepNext w:val="0"/>
        <w:keepLines w:val="0"/>
        <w:widowControl/>
        <w:suppressLineNumbers w:val="0"/>
        <w:wordWrap/>
        <w:spacing w:after="300" w:afterAutospacing="0"/>
      </w:pPr>
      <w:r>
        <w:rPr>
          <w:b w:val="0"/>
          <w:bCs w:val="0"/>
          <w:i w:val="0"/>
          <w:iCs w:val="0"/>
          <w:color w:val="BBC3CC"/>
          <w:sz w:val="19"/>
          <w:szCs w:val="19"/>
          <w:bdr w:val="none" w:color="auto" w:sz="0" w:space="0"/>
        </w:rPr>
        <w:t>（6分）</w:t>
      </w:r>
    </w:p>
    <w:p w14:paraId="1DB1061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A93A95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(1)曲柄摇杆机构(2)双曲柄机构(3)双摇杆机构</w:t>
      </w:r>
    </w:p>
    <w:p w14:paraId="2D54E2F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1847953">
      <w:pPr>
        <w:keepNext w:val="0"/>
        <w:keepLines w:val="0"/>
        <w:widowControl/>
        <w:numPr>
          <w:ilvl w:val="0"/>
          <w:numId w:val="1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834DA71">
      <w:pPr>
        <w:keepNext w:val="0"/>
        <w:keepLines w:val="0"/>
        <w:widowControl/>
        <w:numPr>
          <w:ilvl w:val="0"/>
          <w:numId w:val="12"/>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5DA410E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13. </w:t>
      </w:r>
    </w:p>
    <w:p w14:paraId="09F5E9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对于渐开线齿轮，通常所说的齿形角是指</w:t>
      </w:r>
      <w:r>
        <w:rPr>
          <w:rStyle w:val="6"/>
          <w:rFonts w:ascii="宋体" w:hAnsi="宋体" w:eastAsia="宋体" w:cs="宋体"/>
          <w:b w:val="0"/>
          <w:bCs w:val="0"/>
          <w:i w:val="0"/>
          <w:iCs w:val="0"/>
          <w:color w:val="68D467"/>
          <w:kern w:val="0"/>
          <w:sz w:val="24"/>
          <w:szCs w:val="24"/>
          <w:bdr w:val="none" w:color="auto" w:sz="0" w:space="0"/>
          <w:lang w:val="en-US" w:eastAsia="zh-CN" w:bidi="ar"/>
        </w:rPr>
        <w:t>分度圆</w:t>
      </w:r>
      <w:r>
        <w:rPr>
          <w:rFonts w:ascii="宋体" w:hAnsi="宋体" w:eastAsia="宋体" w:cs="宋体"/>
          <w:kern w:val="0"/>
          <w:sz w:val="24"/>
          <w:szCs w:val="24"/>
          <w:bdr w:val="none" w:color="auto" w:sz="0" w:space="0"/>
          <w:lang w:val="en-US" w:eastAsia="zh-CN" w:bidi="ar"/>
        </w:rPr>
        <w:t>上的齿形角，该齿形角已标准化，规定用</w:t>
      </w:r>
      <w:r>
        <w:rPr>
          <w:rStyle w:val="6"/>
          <w:rFonts w:ascii="宋体" w:hAnsi="宋体" w:eastAsia="宋体" w:cs="宋体"/>
          <w:b w:val="0"/>
          <w:bCs w:val="0"/>
          <w:i w:val="0"/>
          <w:iCs w:val="0"/>
          <w:color w:val="68D467"/>
          <w:kern w:val="0"/>
          <w:sz w:val="24"/>
          <w:szCs w:val="24"/>
          <w:bdr w:val="none" w:color="auto" w:sz="0" w:space="0"/>
          <w:lang w:val="en-US" w:eastAsia="zh-CN" w:bidi="ar"/>
        </w:rPr>
        <w:t>α</w:t>
      </w:r>
      <w:r>
        <w:rPr>
          <w:rFonts w:ascii="宋体" w:hAnsi="宋体" w:eastAsia="宋体" w:cs="宋体"/>
          <w:kern w:val="0"/>
          <w:sz w:val="24"/>
          <w:szCs w:val="24"/>
          <w:bdr w:val="none" w:color="auto" w:sz="0" w:space="0"/>
          <w:lang w:val="en-US" w:eastAsia="zh-CN" w:bidi="ar"/>
        </w:rPr>
        <w:t>表示，且数值为</w:t>
      </w:r>
      <w:r>
        <w:rPr>
          <w:rStyle w:val="6"/>
          <w:rFonts w:ascii="宋体" w:hAnsi="宋体" w:eastAsia="宋体" w:cs="宋体"/>
          <w:b w:val="0"/>
          <w:bCs w:val="0"/>
          <w:i w:val="0"/>
          <w:iCs w:val="0"/>
          <w:color w:val="68D467"/>
          <w:kern w:val="0"/>
          <w:sz w:val="24"/>
          <w:szCs w:val="24"/>
          <w:bdr w:val="none" w:color="auto" w:sz="0" w:space="0"/>
          <w:lang w:val="en-US" w:eastAsia="zh-CN" w:bidi="ar"/>
        </w:rPr>
        <w:t>200</w:t>
      </w:r>
      <w:r>
        <w:rPr>
          <w:rFonts w:ascii="宋体" w:hAnsi="宋体" w:eastAsia="宋体" w:cs="宋体"/>
          <w:kern w:val="0"/>
          <w:sz w:val="24"/>
          <w:szCs w:val="24"/>
          <w:bdr w:val="none" w:color="auto" w:sz="0" w:space="0"/>
          <w:lang w:val="en-US" w:eastAsia="zh-CN" w:bidi="ar"/>
        </w:rPr>
        <w:t>。</w:t>
      </w:r>
    </w:p>
    <w:p w14:paraId="30F7D351">
      <w:pPr>
        <w:keepNext w:val="0"/>
        <w:keepLines w:val="0"/>
        <w:widowControl/>
        <w:suppressLineNumbers w:val="0"/>
        <w:wordWrap/>
        <w:spacing w:after="300" w:afterAutospacing="0"/>
      </w:pPr>
      <w:r>
        <w:rPr>
          <w:b w:val="0"/>
          <w:bCs w:val="0"/>
          <w:i w:val="0"/>
          <w:iCs w:val="0"/>
          <w:color w:val="BBC3CC"/>
          <w:sz w:val="19"/>
          <w:szCs w:val="19"/>
          <w:bdr w:val="none" w:color="auto" w:sz="0" w:space="0"/>
        </w:rPr>
        <w:t>（6分）</w:t>
      </w:r>
    </w:p>
    <w:p w14:paraId="59960AA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A74EA0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(1)分度圆(2)α(3)200</w:t>
      </w:r>
    </w:p>
    <w:p w14:paraId="0938567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E89C333">
      <w:pPr>
        <w:keepNext w:val="0"/>
        <w:keepLines w:val="0"/>
        <w:widowControl/>
        <w:numPr>
          <w:ilvl w:val="0"/>
          <w:numId w:val="1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35FB70D">
      <w:pPr>
        <w:keepNext w:val="0"/>
        <w:keepLines w:val="0"/>
        <w:widowControl/>
        <w:numPr>
          <w:ilvl w:val="0"/>
          <w:numId w:val="13"/>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264E732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14. </w:t>
      </w:r>
    </w:p>
    <w:p w14:paraId="1887048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填写下列各螺纹标记的含义：M24×1.5表示</w:t>
      </w:r>
      <w:r>
        <w:rPr>
          <w:rStyle w:val="6"/>
          <w:rFonts w:ascii="宋体" w:hAnsi="宋体" w:eastAsia="宋体" w:cs="宋体"/>
          <w:b w:val="0"/>
          <w:bCs w:val="0"/>
          <w:i w:val="0"/>
          <w:iCs w:val="0"/>
          <w:color w:val="68D467"/>
          <w:kern w:val="0"/>
          <w:sz w:val="24"/>
          <w:szCs w:val="24"/>
          <w:bdr w:val="none" w:color="auto" w:sz="0" w:space="0"/>
          <w:lang w:val="en-US" w:eastAsia="zh-CN" w:bidi="ar"/>
        </w:rPr>
        <w:t>公称直径为24，螺距为1.5 的普通细牙螺纹</w:t>
      </w:r>
      <w:r>
        <w:rPr>
          <w:rFonts w:ascii="宋体" w:hAnsi="宋体" w:eastAsia="宋体" w:cs="宋体"/>
          <w:kern w:val="0"/>
          <w:sz w:val="24"/>
          <w:szCs w:val="24"/>
          <w:bdr w:val="none" w:color="auto" w:sz="0" w:space="0"/>
          <w:lang w:val="en-US" w:eastAsia="zh-CN" w:bidi="ar"/>
        </w:rPr>
        <w:t>。</w:t>
      </w:r>
    </w:p>
    <w:p w14:paraId="63DC4746">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1D90A4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1044DE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(1)公称直径为24，螺距为1.5 的普通细牙螺纹</w:t>
      </w:r>
    </w:p>
    <w:p w14:paraId="568C5ED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7C820DA">
      <w:pPr>
        <w:keepNext w:val="0"/>
        <w:keepLines w:val="0"/>
        <w:widowControl/>
        <w:numPr>
          <w:ilvl w:val="0"/>
          <w:numId w:val="1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49E5438">
      <w:pPr>
        <w:keepNext w:val="0"/>
        <w:keepLines w:val="0"/>
        <w:widowControl/>
        <w:numPr>
          <w:ilvl w:val="0"/>
          <w:numId w:val="14"/>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5C5F298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15. </w:t>
      </w:r>
    </w:p>
    <w:p w14:paraId="440A4B6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运动副分为</w:t>
      </w:r>
      <w:r>
        <w:rPr>
          <w:rStyle w:val="6"/>
          <w:rFonts w:ascii="宋体" w:hAnsi="宋体" w:eastAsia="宋体" w:cs="宋体"/>
          <w:b w:val="0"/>
          <w:bCs w:val="0"/>
          <w:i w:val="0"/>
          <w:iCs w:val="0"/>
          <w:color w:val="68D467"/>
          <w:kern w:val="0"/>
          <w:sz w:val="24"/>
          <w:szCs w:val="24"/>
          <w:bdr w:val="none" w:color="auto" w:sz="0" w:space="0"/>
          <w:lang w:val="en-US" w:eastAsia="zh-CN" w:bidi="ar"/>
        </w:rPr>
        <w:t>低副</w:t>
      </w:r>
      <w:r>
        <w:rPr>
          <w:rFonts w:ascii="宋体" w:hAnsi="宋体" w:eastAsia="宋体" w:cs="宋体"/>
          <w:kern w:val="0"/>
          <w:sz w:val="24"/>
          <w:szCs w:val="24"/>
          <w:bdr w:val="none" w:color="auto" w:sz="0" w:space="0"/>
          <w:lang w:val="en-US" w:eastAsia="zh-CN" w:bidi="ar"/>
        </w:rPr>
        <w:t>和</w:t>
      </w:r>
      <w:r>
        <w:rPr>
          <w:rStyle w:val="6"/>
          <w:rFonts w:ascii="宋体" w:hAnsi="宋体" w:eastAsia="宋体" w:cs="宋体"/>
          <w:b w:val="0"/>
          <w:bCs w:val="0"/>
          <w:i w:val="0"/>
          <w:iCs w:val="0"/>
          <w:color w:val="68D467"/>
          <w:kern w:val="0"/>
          <w:sz w:val="24"/>
          <w:szCs w:val="24"/>
          <w:bdr w:val="none" w:color="auto" w:sz="0" w:space="0"/>
          <w:lang w:val="en-US" w:eastAsia="zh-CN" w:bidi="ar"/>
        </w:rPr>
        <w:t>高副</w:t>
      </w:r>
      <w:r>
        <w:rPr>
          <w:rFonts w:ascii="宋体" w:hAnsi="宋体" w:eastAsia="宋体" w:cs="宋体"/>
          <w:kern w:val="0"/>
          <w:sz w:val="24"/>
          <w:szCs w:val="24"/>
          <w:bdr w:val="none" w:color="auto" w:sz="0" w:space="0"/>
          <w:lang w:val="en-US" w:eastAsia="zh-CN" w:bidi="ar"/>
        </w:rPr>
        <w:t>两类。</w:t>
      </w:r>
    </w:p>
    <w:p w14:paraId="761E818B">
      <w:pPr>
        <w:keepNext w:val="0"/>
        <w:keepLines w:val="0"/>
        <w:widowControl/>
        <w:suppressLineNumbers w:val="0"/>
        <w:wordWrap/>
        <w:spacing w:after="300" w:afterAutospacing="0"/>
      </w:pPr>
      <w:r>
        <w:rPr>
          <w:b w:val="0"/>
          <w:bCs w:val="0"/>
          <w:i w:val="0"/>
          <w:iCs w:val="0"/>
          <w:color w:val="BBC3CC"/>
          <w:sz w:val="19"/>
          <w:szCs w:val="19"/>
          <w:bdr w:val="none" w:color="auto" w:sz="0" w:space="0"/>
        </w:rPr>
        <w:t>（4分）</w:t>
      </w:r>
    </w:p>
    <w:p w14:paraId="59B2B74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36A891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(1)低副(2)高副</w:t>
      </w:r>
    </w:p>
    <w:p w14:paraId="44952CD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A48EECC">
      <w:pPr>
        <w:keepNext w:val="0"/>
        <w:keepLines w:val="0"/>
        <w:widowControl/>
        <w:numPr>
          <w:ilvl w:val="0"/>
          <w:numId w:val="1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5BC7A81">
      <w:pPr>
        <w:keepNext w:val="0"/>
        <w:keepLines w:val="0"/>
        <w:widowControl/>
        <w:numPr>
          <w:ilvl w:val="0"/>
          <w:numId w:val="15"/>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0E5211C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16. </w:t>
      </w:r>
    </w:p>
    <w:p w14:paraId="7D97FD9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V带是横截面为</w:t>
      </w:r>
      <w:r>
        <w:rPr>
          <w:rStyle w:val="6"/>
          <w:rFonts w:ascii="宋体" w:hAnsi="宋体" w:eastAsia="宋体" w:cs="宋体"/>
          <w:b w:val="0"/>
          <w:bCs w:val="0"/>
          <w:i w:val="0"/>
          <w:iCs w:val="0"/>
          <w:color w:val="68D467"/>
          <w:kern w:val="0"/>
          <w:sz w:val="24"/>
          <w:szCs w:val="24"/>
          <w:bdr w:val="none" w:color="auto" w:sz="0" w:space="0"/>
          <w:lang w:val="en-US" w:eastAsia="zh-CN" w:bidi="ar"/>
        </w:rPr>
        <w:t>等腰梯形</w:t>
      </w:r>
      <w:r>
        <w:rPr>
          <w:rFonts w:ascii="宋体" w:hAnsi="宋体" w:eastAsia="宋体" w:cs="宋体"/>
          <w:kern w:val="0"/>
          <w:sz w:val="24"/>
          <w:szCs w:val="24"/>
          <w:bdr w:val="none" w:color="auto" w:sz="0" w:space="0"/>
          <w:lang w:val="en-US" w:eastAsia="zh-CN" w:bidi="ar"/>
        </w:rPr>
        <w:t>的传动带，其工作面为</w:t>
      </w:r>
      <w:r>
        <w:rPr>
          <w:rStyle w:val="6"/>
          <w:rFonts w:ascii="宋体" w:hAnsi="宋体" w:eastAsia="宋体" w:cs="宋体"/>
          <w:b w:val="0"/>
          <w:bCs w:val="0"/>
          <w:i w:val="0"/>
          <w:iCs w:val="0"/>
          <w:color w:val="68D467"/>
          <w:kern w:val="0"/>
          <w:sz w:val="24"/>
          <w:szCs w:val="24"/>
          <w:bdr w:val="none" w:color="auto" w:sz="0" w:space="0"/>
          <w:lang w:val="en-US" w:eastAsia="zh-CN" w:bidi="ar"/>
        </w:rPr>
        <w:t>两侧面</w:t>
      </w:r>
      <w:r>
        <w:rPr>
          <w:rFonts w:ascii="宋体" w:hAnsi="宋体" w:eastAsia="宋体" w:cs="宋体"/>
          <w:kern w:val="0"/>
          <w:sz w:val="24"/>
          <w:szCs w:val="24"/>
          <w:bdr w:val="none" w:color="auto" w:sz="0" w:space="0"/>
          <w:lang w:val="en-US" w:eastAsia="zh-CN" w:bidi="ar"/>
        </w:rPr>
        <w:t>。</w:t>
      </w:r>
    </w:p>
    <w:p w14:paraId="5E1761F2">
      <w:pPr>
        <w:keepNext w:val="0"/>
        <w:keepLines w:val="0"/>
        <w:widowControl/>
        <w:suppressLineNumbers w:val="0"/>
        <w:wordWrap/>
        <w:spacing w:after="300" w:afterAutospacing="0"/>
      </w:pPr>
      <w:r>
        <w:rPr>
          <w:b w:val="0"/>
          <w:bCs w:val="0"/>
          <w:i w:val="0"/>
          <w:iCs w:val="0"/>
          <w:color w:val="BBC3CC"/>
          <w:sz w:val="19"/>
          <w:szCs w:val="19"/>
          <w:bdr w:val="none" w:color="auto" w:sz="0" w:space="0"/>
        </w:rPr>
        <w:t>（4分）</w:t>
      </w:r>
    </w:p>
    <w:p w14:paraId="747CD16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B42DFD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(1)等腰梯形(2)两侧面</w:t>
      </w:r>
    </w:p>
    <w:p w14:paraId="14C8900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4C6E8BD">
      <w:pPr>
        <w:keepNext w:val="0"/>
        <w:keepLines w:val="0"/>
        <w:widowControl/>
        <w:numPr>
          <w:ilvl w:val="0"/>
          <w:numId w:val="1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A93578C">
      <w:pPr>
        <w:keepNext w:val="0"/>
        <w:keepLines w:val="0"/>
        <w:widowControl/>
        <w:numPr>
          <w:ilvl w:val="0"/>
          <w:numId w:val="16"/>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1611FA1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17. </w:t>
      </w:r>
    </w:p>
    <w:p w14:paraId="4BBC494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Style w:val="6"/>
          <w:rFonts w:ascii="宋体" w:hAnsi="宋体" w:eastAsia="宋体" w:cs="宋体"/>
          <w:b w:val="0"/>
          <w:bCs w:val="0"/>
          <w:i w:val="0"/>
          <w:iCs w:val="0"/>
          <w:color w:val="68D467"/>
          <w:kern w:val="0"/>
          <w:sz w:val="24"/>
          <w:szCs w:val="24"/>
          <w:bdr w:val="none" w:color="auto" w:sz="0" w:space="0"/>
          <w:lang w:val="en-US" w:eastAsia="zh-CN" w:bidi="ar"/>
        </w:rPr>
        <w:t>零件工作可靠并且成本低廉</w:t>
      </w:r>
      <w:r>
        <w:rPr>
          <w:rFonts w:ascii="宋体" w:hAnsi="宋体" w:eastAsia="宋体" w:cs="宋体"/>
          <w:kern w:val="0"/>
          <w:sz w:val="24"/>
          <w:szCs w:val="24"/>
          <w:bdr w:val="none" w:color="auto" w:sz="0" w:space="0"/>
          <w:lang w:val="en-US" w:eastAsia="zh-CN" w:bidi="ar"/>
        </w:rPr>
        <w:t>是设计机械零件应满足的基本要求。</w:t>
      </w:r>
    </w:p>
    <w:p w14:paraId="73BCBB6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5DCFD8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8D5647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(1)零件工作可靠并且成本低廉</w:t>
      </w:r>
    </w:p>
    <w:p w14:paraId="08AE651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A84DEB0">
      <w:pPr>
        <w:keepNext w:val="0"/>
        <w:keepLines w:val="0"/>
        <w:widowControl/>
        <w:numPr>
          <w:ilvl w:val="0"/>
          <w:numId w:val="1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71F2D10">
      <w:pPr>
        <w:keepNext w:val="0"/>
        <w:keepLines w:val="0"/>
        <w:widowControl/>
        <w:numPr>
          <w:ilvl w:val="0"/>
          <w:numId w:val="17"/>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2EA6208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18. </w:t>
      </w:r>
    </w:p>
    <w:p w14:paraId="3AA0BFD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螺纹连接放松的根本问题在于要防止</w:t>
      </w:r>
      <w:r>
        <w:rPr>
          <w:rStyle w:val="6"/>
          <w:rFonts w:ascii="宋体" w:hAnsi="宋体" w:eastAsia="宋体" w:cs="宋体"/>
          <w:b w:val="0"/>
          <w:bCs w:val="0"/>
          <w:i w:val="0"/>
          <w:iCs w:val="0"/>
          <w:color w:val="68D467"/>
          <w:kern w:val="0"/>
          <w:sz w:val="24"/>
          <w:szCs w:val="24"/>
          <w:bdr w:val="none" w:color="auto" w:sz="0" w:space="0"/>
          <w:lang w:val="en-US" w:eastAsia="zh-CN" w:bidi="ar"/>
        </w:rPr>
        <w:t>螺纹副的相对运动</w:t>
      </w:r>
      <w:r>
        <w:rPr>
          <w:rFonts w:ascii="宋体" w:hAnsi="宋体" w:eastAsia="宋体" w:cs="宋体"/>
          <w:kern w:val="0"/>
          <w:sz w:val="24"/>
          <w:szCs w:val="24"/>
          <w:bdr w:val="none" w:color="auto" w:sz="0" w:space="0"/>
          <w:lang w:val="en-US" w:eastAsia="zh-CN" w:bidi="ar"/>
        </w:rPr>
        <w:t>。</w:t>
      </w:r>
    </w:p>
    <w:p w14:paraId="4616085E">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3ED30BC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46B24D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(1)螺纹副的相对运动</w:t>
      </w:r>
    </w:p>
    <w:p w14:paraId="666B25D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B4A7717">
      <w:pPr>
        <w:keepNext w:val="0"/>
        <w:keepLines w:val="0"/>
        <w:widowControl/>
        <w:numPr>
          <w:ilvl w:val="0"/>
          <w:numId w:val="1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AD5D611">
      <w:pPr>
        <w:keepNext w:val="0"/>
        <w:keepLines w:val="0"/>
        <w:widowControl/>
        <w:numPr>
          <w:ilvl w:val="0"/>
          <w:numId w:val="18"/>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2A5F507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19. </w:t>
      </w:r>
    </w:p>
    <w:p w14:paraId="1EA6E38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带传动打滑总是在</w:t>
      </w:r>
      <w:r>
        <w:rPr>
          <w:rStyle w:val="6"/>
          <w:rFonts w:ascii="宋体" w:hAnsi="宋体" w:eastAsia="宋体" w:cs="宋体"/>
          <w:b w:val="0"/>
          <w:bCs w:val="0"/>
          <w:i w:val="0"/>
          <w:iCs w:val="0"/>
          <w:color w:val="68D467"/>
          <w:kern w:val="0"/>
          <w:sz w:val="24"/>
          <w:szCs w:val="24"/>
          <w:bdr w:val="none" w:color="auto" w:sz="0" w:space="0"/>
          <w:lang w:val="en-US" w:eastAsia="zh-CN" w:bidi="ar"/>
        </w:rPr>
        <w:t>小带轮</w:t>
      </w:r>
      <w:r>
        <w:rPr>
          <w:rFonts w:ascii="宋体" w:hAnsi="宋体" w:eastAsia="宋体" w:cs="宋体"/>
          <w:kern w:val="0"/>
          <w:sz w:val="24"/>
          <w:szCs w:val="24"/>
          <w:bdr w:val="none" w:color="auto" w:sz="0" w:space="0"/>
          <w:lang w:val="en-US" w:eastAsia="zh-CN" w:bidi="ar"/>
        </w:rPr>
        <w:t>轮上先开始。</w:t>
      </w:r>
    </w:p>
    <w:p w14:paraId="38A162D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E916A3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5E3B5D0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(1)小带轮</w:t>
      </w:r>
    </w:p>
    <w:p w14:paraId="76A9D70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27B6D61">
      <w:pPr>
        <w:keepNext w:val="0"/>
        <w:keepLines w:val="0"/>
        <w:widowControl/>
        <w:numPr>
          <w:ilvl w:val="0"/>
          <w:numId w:val="1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067865C">
      <w:pPr>
        <w:keepNext w:val="0"/>
        <w:keepLines w:val="0"/>
        <w:widowControl/>
        <w:numPr>
          <w:ilvl w:val="0"/>
          <w:numId w:val="19"/>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420744C1">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三.  计算题</w:t>
      </w:r>
      <w:r>
        <w:rPr>
          <w:rFonts w:hint="eastAsia" w:ascii="宋体" w:hAnsi="宋体" w:eastAsia="宋体" w:cs="宋体"/>
          <w:b w:val="0"/>
          <w:bCs w:val="0"/>
          <w:i w:val="0"/>
          <w:iCs w:val="0"/>
          <w:color w:val="BBC3CC"/>
          <w:kern w:val="0"/>
          <w:sz w:val="19"/>
          <w:szCs w:val="19"/>
          <w:lang w:val="en-US" w:eastAsia="zh-CN" w:bidi="ar"/>
        </w:rPr>
        <w:t>（每题10分，共2题，总分值20分）</w:t>
      </w:r>
    </w:p>
    <w:p w14:paraId="04CBA9E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20. </w:t>
      </w:r>
    </w:p>
    <w:p w14:paraId="2C76402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已知一对配合的标准渐开线直齿圆柱齿轮，其参数为m1=4，Z1=20，Z2=80，α=20°；求da1，m2，df2，a，p，e，d2 。</w:t>
      </w:r>
    </w:p>
    <w:p w14:paraId="27DAA4D4">
      <w:pPr>
        <w:keepNext w:val="0"/>
        <w:keepLines w:val="0"/>
        <w:widowControl/>
        <w:suppressLineNumbers w:val="0"/>
        <w:wordWrap/>
        <w:spacing w:after="300" w:afterAutospacing="0"/>
      </w:pPr>
      <w:r>
        <w:rPr>
          <w:b w:val="0"/>
          <w:bCs w:val="0"/>
          <w:i w:val="0"/>
          <w:iCs w:val="0"/>
          <w:color w:val="BBC3CC"/>
          <w:sz w:val="19"/>
          <w:szCs w:val="19"/>
          <w:bdr w:val="none" w:color="auto" w:sz="0" w:space="0"/>
        </w:rPr>
        <w:t>（10分）</w:t>
      </w:r>
    </w:p>
    <w:p w14:paraId="6F716DF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4304C4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da1=88mm   m2=4mm  df2=310mm  a=200mm  p=12.56mm  e=6.28mm  d2=320mm</w:t>
      </w:r>
    </w:p>
    <w:p w14:paraId="1319F56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80EDB3B">
      <w:pPr>
        <w:keepNext w:val="0"/>
        <w:keepLines w:val="0"/>
        <w:widowControl/>
        <w:numPr>
          <w:ilvl w:val="0"/>
          <w:numId w:val="2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3B60F47">
      <w:pPr>
        <w:keepNext w:val="0"/>
        <w:keepLines w:val="0"/>
        <w:widowControl/>
        <w:numPr>
          <w:ilvl w:val="0"/>
          <w:numId w:val="20"/>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4A45B1D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21. </w:t>
      </w:r>
    </w:p>
    <w:p w14:paraId="55BE9EF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搞技术革新需要一对传动比i=3的直齿圆柱齿轮。现从备件库中找到两个齿形角α=200的直齿轮，经测量，齿数z1=20，z2=60，齿顶圆直径da1=55mm，da2=186mm。试问这两个齿轮是否能配对使用?为什么?</w:t>
      </w:r>
    </w:p>
    <w:p w14:paraId="0DFA4EBD">
      <w:pPr>
        <w:keepNext w:val="0"/>
        <w:keepLines w:val="0"/>
        <w:widowControl/>
        <w:suppressLineNumbers w:val="0"/>
        <w:wordWrap/>
        <w:spacing w:after="300" w:afterAutospacing="0"/>
      </w:pPr>
      <w:r>
        <w:rPr>
          <w:b w:val="0"/>
          <w:bCs w:val="0"/>
          <w:i w:val="0"/>
          <w:iCs w:val="0"/>
          <w:color w:val="BBC3CC"/>
          <w:sz w:val="19"/>
          <w:szCs w:val="19"/>
          <w:bdr w:val="none" w:color="auto" w:sz="0" w:space="0"/>
        </w:rPr>
        <w:t>（10分）</w:t>
      </w:r>
    </w:p>
    <w:p w14:paraId="0F3E1E8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75F4466">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jc w:val="center"/>
      </w:pPr>
      <w:r>
        <w:rPr>
          <w:color w:val="55CC55"/>
          <w:sz w:val="21"/>
          <w:szCs w:val="21"/>
          <w:bdr w:val="none" w:color="auto" w:sz="0" w:space="0"/>
          <w:shd w:val="clear" w:fill="EEF5FF"/>
        </w:rPr>
        <w:t>m1=2.5mm；m2=3mm；不能配对使用，因为没有两齿轮模数不相等，没有正确啮合的条件</w:t>
      </w:r>
    </w:p>
    <w:p w14:paraId="5BBF6B6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15036E1">
      <w:pPr>
        <w:keepNext w:val="0"/>
        <w:keepLines w:val="0"/>
        <w:widowControl/>
        <w:numPr>
          <w:ilvl w:val="0"/>
          <w:numId w:val="2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9D69362">
      <w:pPr>
        <w:keepNext w:val="0"/>
        <w:keepLines w:val="0"/>
        <w:widowControl/>
        <w:numPr>
          <w:ilvl w:val="0"/>
          <w:numId w:val="21"/>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15D552E8">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四.  简答题</w:t>
      </w:r>
      <w:r>
        <w:rPr>
          <w:rFonts w:hint="eastAsia" w:ascii="宋体" w:hAnsi="宋体" w:eastAsia="宋体" w:cs="宋体"/>
          <w:b w:val="0"/>
          <w:bCs w:val="0"/>
          <w:i w:val="0"/>
          <w:iCs w:val="0"/>
          <w:color w:val="BBC3CC"/>
          <w:kern w:val="0"/>
          <w:sz w:val="19"/>
          <w:szCs w:val="19"/>
          <w:lang w:val="en-US" w:eastAsia="zh-CN" w:bidi="ar"/>
        </w:rPr>
        <w:t>（每题10分，共3题，总分值30分）</w:t>
      </w:r>
    </w:p>
    <w:p w14:paraId="4326F5B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22. </w:t>
      </w:r>
    </w:p>
    <w:p w14:paraId="52552D4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简述齿轮传动的特点？</w:t>
      </w:r>
    </w:p>
    <w:p w14:paraId="05B64D9C">
      <w:pPr>
        <w:keepNext w:val="0"/>
        <w:keepLines w:val="0"/>
        <w:widowControl/>
        <w:suppressLineNumbers w:val="0"/>
        <w:wordWrap/>
        <w:spacing w:after="300" w:afterAutospacing="0"/>
      </w:pPr>
      <w:r>
        <w:rPr>
          <w:b w:val="0"/>
          <w:bCs w:val="0"/>
          <w:i w:val="0"/>
          <w:iCs w:val="0"/>
          <w:color w:val="BBC3CC"/>
          <w:sz w:val="19"/>
          <w:szCs w:val="19"/>
          <w:bdr w:val="none" w:color="auto" w:sz="0" w:space="0"/>
        </w:rPr>
        <w:t>（10分）</w:t>
      </w:r>
    </w:p>
    <w:p w14:paraId="5B84DF9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0DAF0A6">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jc w:val="center"/>
      </w:pPr>
      <w:r>
        <w:rPr>
          <w:color w:val="55CC55"/>
          <w:sz w:val="21"/>
          <w:szCs w:val="21"/>
          <w:bdr w:val="none" w:color="auto" w:sz="0" w:space="0"/>
          <w:shd w:val="clear" w:fill="EEF5FF"/>
        </w:rPr>
        <w:t>1）传递动力大，效率高2）寿命长，工作平稳可靠性高3）能保证恒定的传动比4）精度要求高，成本高5）不宜作轴间距离过大的传动</w:t>
      </w:r>
    </w:p>
    <w:p w14:paraId="58FB906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6566D8B">
      <w:pPr>
        <w:keepNext w:val="0"/>
        <w:keepLines w:val="0"/>
        <w:widowControl/>
        <w:numPr>
          <w:ilvl w:val="0"/>
          <w:numId w:val="2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AC6E739">
      <w:pPr>
        <w:keepNext w:val="0"/>
        <w:keepLines w:val="0"/>
        <w:widowControl/>
        <w:numPr>
          <w:ilvl w:val="0"/>
          <w:numId w:val="22"/>
        </w:numPr>
        <w:suppressLineNumbers w:val="0"/>
        <w:wordWrap/>
        <w:spacing w:before="75" w:beforeAutospacing="0" w:after="0" w:afterAutospacing="1"/>
        <w:ind w:left="0" w:hanging="360"/>
      </w:pPr>
      <w:r>
        <w:rPr>
          <w:color w:val="AAB6CC"/>
          <w:sz w:val="19"/>
          <w:szCs w:val="19"/>
          <w:bdr w:val="none" w:color="auto" w:sz="0" w:space="0"/>
        </w:rPr>
        <w:t>课程结构 : 机械设计基础-学院命题</w:t>
      </w:r>
    </w:p>
    <w:p w14:paraId="4DE30B13">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jc w:val="left"/>
      </w:pPr>
      <w:r>
        <w:rPr>
          <w:rFonts w:ascii="宋体" w:hAnsi="宋体" w:eastAsia="宋体" w:cs="宋体"/>
          <w:kern w:val="0"/>
          <w:sz w:val="24"/>
          <w:szCs w:val="24"/>
          <w:bdr w:val="none" w:color="auto" w:sz="0" w:space="0"/>
          <w:shd w:val="clear" w:fill="E4EFFF"/>
          <w:lang w:val="en-US" w:eastAsia="zh-CN" w:bidi="ar"/>
        </w:rPr>
        <w:t>23. </w:t>
      </w:r>
    </w:p>
    <w:p w14:paraId="031F22BE">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jc w:val="left"/>
      </w:pPr>
      <w:r>
        <w:rPr>
          <w:rFonts w:ascii="宋体" w:hAnsi="宋体" w:eastAsia="宋体" w:cs="宋体"/>
          <w:kern w:val="0"/>
          <w:sz w:val="24"/>
          <w:szCs w:val="24"/>
          <w:bdr w:val="none" w:color="auto" w:sz="0" w:space="0"/>
          <w:shd w:val="clear" w:fill="E4EFFF"/>
          <w:lang w:val="en-US" w:eastAsia="zh-CN" w:bidi="ar"/>
        </w:rPr>
        <w:t>简述机构具有确定相对运动的条件及在计算机构自由度时应注意的三个问题。</w:t>
      </w:r>
    </w:p>
    <w:p w14:paraId="1D5F933A">
      <w:pPr>
        <w:keepNext w:val="0"/>
        <w:keepLines w:val="0"/>
        <w:widowControl/>
        <w:suppressLineNumbers w:val="0"/>
        <w:wordWrap/>
        <w:spacing w:after="256" w:afterAutospacing="0"/>
        <w:ind w:left="-48" w:right="-48"/>
      </w:pPr>
      <w:r>
        <w:rPr>
          <w:b w:val="0"/>
          <w:bCs w:val="0"/>
          <w:i w:val="0"/>
          <w:iCs w:val="0"/>
          <w:color w:val="BBC3CC"/>
          <w:sz w:val="19"/>
          <w:szCs w:val="19"/>
          <w:bdr w:val="none" w:color="auto" w:sz="0" w:space="0"/>
          <w:shd w:val="clear" w:fill="E4EFFF"/>
        </w:rPr>
        <w:t>（10分）</w:t>
      </w:r>
    </w:p>
    <w:p w14:paraId="5E39BFBE">
      <w:pPr>
        <w:keepNext w:val="0"/>
        <w:keepLines w:val="0"/>
        <w:widowControl/>
        <w:numPr>
          <w:ilvl w:val="0"/>
          <w:numId w:val="23"/>
        </w:numPr>
        <w:suppressLineNumbers w:val="0"/>
        <w:wordWrap/>
        <w:spacing w:line="450" w:lineRule="atLeast"/>
        <w:ind w:left="-16" w:right="-15" w:hanging="360"/>
        <w:jc w:val="center"/>
      </w:pPr>
      <w:r>
        <w:rPr>
          <w:color w:val="FFFFFF"/>
          <w:sz w:val="21"/>
          <w:szCs w:val="21"/>
          <w:bdr w:val="none" w:color="auto" w:sz="0" w:space="0"/>
          <w:shd w:val="clear" w:fill="56A2FF"/>
        </w:rPr>
        <w:t>纠错</w:t>
      </w:r>
    </w:p>
    <w:p w14:paraId="5CC9891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36"/>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363F5C5">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jc w:val="center"/>
      </w:pPr>
      <w:r>
        <w:rPr>
          <w:color w:val="55CC55"/>
          <w:sz w:val="21"/>
          <w:szCs w:val="21"/>
          <w:bdr w:val="none" w:color="auto" w:sz="0" w:space="0"/>
          <w:shd w:val="clear" w:fill="EEF5FF"/>
        </w:rPr>
        <w:t>机构的自由度数目大于1，机构的自由数目等于该机构的主动件的数目。复合铰链，局部自由度，虚约束。</w:t>
      </w:r>
    </w:p>
    <w:p w14:paraId="12BF021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36" w:beforeAutospacing="0"/>
        <w:ind w:left="-15" w:right="136"/>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AB25C0E">
      <w:pPr>
        <w:keepNext w:val="0"/>
        <w:keepLines w:val="0"/>
        <w:widowControl/>
        <w:numPr>
          <w:ilvl w:val="0"/>
          <w:numId w:val="24"/>
        </w:numPr>
        <w:suppressLineNumbers w:val="0"/>
        <w:wordWrap/>
        <w:spacing w:before="75" w:beforeAutospacing="0"/>
        <w:ind w:left="-16" w:right="-15" w:hanging="360"/>
      </w:pPr>
      <w:r>
        <w:rPr>
          <w:color w:val="AAB6CC"/>
          <w:sz w:val="19"/>
          <w:szCs w:val="19"/>
          <w:bdr w:val="none" w:color="auto" w:sz="0" w:space="0"/>
          <w:shd w:val="clear" w:fill="E4EFFF"/>
        </w:rPr>
        <w:t>难度 : 中等</w:t>
      </w:r>
      <w:r>
        <w:rPr>
          <w:i w:val="0"/>
          <w:iCs w:val="0"/>
          <w:color w:val="D6DBE0"/>
          <w:sz w:val="19"/>
          <w:szCs w:val="19"/>
          <w:shd w:val="clear" w:fill="E4EFFF"/>
        </w:rPr>
        <w:t>|</w:t>
      </w:r>
    </w:p>
    <w:p w14:paraId="719F7CD0">
      <w:pPr>
        <w:keepNext w:val="0"/>
        <w:keepLines w:val="0"/>
        <w:widowControl/>
        <w:numPr>
          <w:ilvl w:val="0"/>
          <w:numId w:val="24"/>
        </w:numPr>
        <w:suppressLineNumbers w:val="0"/>
        <w:wordWrap/>
        <w:spacing w:before="75" w:beforeAutospacing="0"/>
        <w:ind w:left="-16" w:right="-15" w:hanging="360"/>
      </w:pPr>
      <w:r>
        <w:rPr>
          <w:color w:val="AAB6CC"/>
          <w:sz w:val="19"/>
          <w:szCs w:val="19"/>
          <w:bdr w:val="none" w:color="auto" w:sz="0" w:space="0"/>
          <w:shd w:val="clear" w:fill="E4EFFF"/>
        </w:rPr>
        <w:t>课程结构 : 机械设计基础-学院命题</w:t>
      </w:r>
    </w:p>
    <w:p w14:paraId="424070A6">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bdr w:val="none" w:color="auto" w:sz="0" w:space="0"/>
          <w:shd w:val="clear" w:fill="F9F9FB"/>
          <w:lang w:val="en-US" w:eastAsia="zh-CN" w:bidi="ar"/>
        </w:rPr>
        <w:t>24. </w:t>
      </w:r>
    </w:p>
    <w:p w14:paraId="1476D431">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bdr w:val="none" w:color="auto" w:sz="0" w:space="0"/>
          <w:shd w:val="clear" w:fill="F9F9FB"/>
          <w:lang w:val="en-US" w:eastAsia="zh-CN" w:bidi="ar"/>
        </w:rPr>
        <w:t>简述机构和机器的相同点和不同点。</w:t>
      </w:r>
    </w:p>
    <w:p w14:paraId="27211ACF">
      <w:pPr>
        <w:keepNext w:val="0"/>
        <w:keepLines w:val="0"/>
        <w:widowControl/>
        <w:suppressLineNumbers w:val="0"/>
        <w:shd w:val="clear" w:fill="F9F9FB"/>
        <w:wordWrap/>
        <w:spacing w:after="300" w:afterAutospacing="0"/>
        <w:ind w:left="0" w:firstLine="0"/>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b w:val="0"/>
          <w:bCs w:val="0"/>
          <w:i w:val="0"/>
          <w:iCs w:val="0"/>
          <w:caps w:val="0"/>
          <w:color w:val="BBC3CC"/>
          <w:spacing w:val="0"/>
          <w:sz w:val="19"/>
          <w:szCs w:val="19"/>
          <w:bdr w:val="none" w:color="auto" w:sz="0" w:space="0"/>
          <w:shd w:val="clear" w:fill="F9F9FB"/>
        </w:rPr>
        <w:t>（10分）</w:t>
      </w:r>
    </w:p>
    <w:p w14:paraId="0F67CB2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rFonts w:hint="eastAsia" w:ascii="微软雅黑" w:hAnsi="微软雅黑" w:eastAsia="微软雅黑" w:cs="微软雅黑"/>
          <w:i w:val="0"/>
          <w:iCs w:val="0"/>
          <w:caps w:val="0"/>
          <w:color w:val="666A77"/>
          <w:spacing w:val="0"/>
          <w:sz w:val="21"/>
          <w:szCs w:val="21"/>
        </w:rPr>
      </w:pPr>
      <w:r>
        <w:rPr>
          <w:rFonts w:hint="eastAsia" w:ascii="微软雅黑" w:hAnsi="微软雅黑" w:eastAsia="微软雅黑" w:cs="微软雅黑"/>
          <w:i w:val="0"/>
          <w:iCs w:val="0"/>
          <w:caps w:val="0"/>
          <w:color w:val="666A77"/>
          <w:spacing w:val="0"/>
          <w:kern w:val="0"/>
          <w:sz w:val="21"/>
          <w:szCs w:val="21"/>
          <w:bdr w:val="none" w:color="auto" w:sz="0" w:space="0"/>
          <w:shd w:val="clear" w:fill="EEF5FF"/>
          <w:lang w:val="en-US" w:eastAsia="zh-CN" w:bidi="ar"/>
        </w:rPr>
        <w:t>答案</w:t>
      </w:r>
    </w:p>
    <w:p w14:paraId="2D91DDBC">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jc w:val="center"/>
      </w:pPr>
      <w:r>
        <w:rPr>
          <w:rFonts w:hint="eastAsia" w:ascii="微软雅黑" w:hAnsi="微软雅黑" w:eastAsia="微软雅黑" w:cs="微软雅黑"/>
          <w:i w:val="0"/>
          <w:iCs w:val="0"/>
          <w:caps w:val="0"/>
          <w:color w:val="55CC55"/>
          <w:spacing w:val="0"/>
          <w:sz w:val="21"/>
          <w:szCs w:val="21"/>
          <w:bdr w:val="none" w:color="auto" w:sz="0" w:space="0"/>
          <w:shd w:val="clear" w:fill="EEF5FF"/>
        </w:rPr>
        <w:t>相同点：1).它们都是由构件及运动副组成的人为的实物组合体；2).它们各运动单元之间都具有确定的相对运动不同点：机器能完成有用的机械功或转换机械能，而机构不能。</w:t>
      </w:r>
    </w:p>
    <w:p w14:paraId="4D62DA4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rFonts w:hint="eastAsia" w:ascii="微软雅黑" w:hAnsi="微软雅黑" w:eastAsia="微软雅黑" w:cs="微软雅黑"/>
          <w:i w:val="0"/>
          <w:iCs w:val="0"/>
          <w:caps w:val="0"/>
          <w:color w:val="666A77"/>
          <w:spacing w:val="0"/>
          <w:sz w:val="21"/>
          <w:szCs w:val="21"/>
        </w:rPr>
      </w:pPr>
      <w:r>
        <w:rPr>
          <w:rFonts w:hint="eastAsia" w:ascii="微软雅黑" w:hAnsi="微软雅黑" w:eastAsia="微软雅黑" w:cs="微软雅黑"/>
          <w:i w:val="0"/>
          <w:iCs w:val="0"/>
          <w:caps w:val="0"/>
          <w:color w:val="666A77"/>
          <w:spacing w:val="0"/>
          <w:kern w:val="0"/>
          <w:sz w:val="21"/>
          <w:szCs w:val="21"/>
          <w:bdr w:val="none" w:color="auto" w:sz="0" w:space="0"/>
          <w:shd w:val="clear" w:fill="EEF5FF"/>
          <w:lang w:val="en-US" w:eastAsia="zh-CN" w:bidi="ar"/>
        </w:rPr>
        <w:t>解析</w:t>
      </w:r>
    </w:p>
    <w:p w14:paraId="65A6A9C3">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300" w:beforeAutospacing="0" w:after="0" w:afterAutospacing="0"/>
        <w:ind w:left="0" w:right="0" w:firstLine="0"/>
        <w:jc w:val="left"/>
        <w:rPr>
          <w:rFonts w:hint="eastAsia" w:ascii="微软雅黑" w:hAnsi="微软雅黑" w:eastAsia="微软雅黑" w:cs="微软雅黑"/>
          <w:i w:val="0"/>
          <w:iCs w:val="0"/>
          <w:caps w:val="0"/>
          <w:color w:val="AAB6CC"/>
          <w:spacing w:val="0"/>
          <w:sz w:val="19"/>
          <w:szCs w:val="19"/>
        </w:rPr>
      </w:pPr>
    </w:p>
    <w:p w14:paraId="4451EC2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CEC520"/>
    <w:multiLevelType w:val="multilevel"/>
    <w:tmpl w:val="86CEC52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9766B38C"/>
    <w:multiLevelType w:val="multilevel"/>
    <w:tmpl w:val="9766B38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99D24AF9"/>
    <w:multiLevelType w:val="multilevel"/>
    <w:tmpl w:val="99D24AF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A97C80AA"/>
    <w:multiLevelType w:val="multilevel"/>
    <w:tmpl w:val="A97C80A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B0BC5DF7"/>
    <w:multiLevelType w:val="multilevel"/>
    <w:tmpl w:val="B0BC5DF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B2AF0ADF"/>
    <w:multiLevelType w:val="multilevel"/>
    <w:tmpl w:val="B2AF0AD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B48BD63E"/>
    <w:multiLevelType w:val="multilevel"/>
    <w:tmpl w:val="B48BD63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C26102E5"/>
    <w:multiLevelType w:val="multilevel"/>
    <w:tmpl w:val="C26102E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D86D5111"/>
    <w:multiLevelType w:val="multilevel"/>
    <w:tmpl w:val="D86D511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D8B55302"/>
    <w:multiLevelType w:val="multilevel"/>
    <w:tmpl w:val="D8B5530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E713DC82"/>
    <w:multiLevelType w:val="multilevel"/>
    <w:tmpl w:val="E713DC8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EBBDBA68"/>
    <w:multiLevelType w:val="multilevel"/>
    <w:tmpl w:val="EBBDBA6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EE324834"/>
    <w:multiLevelType w:val="multilevel"/>
    <w:tmpl w:val="EE32483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F6D84936"/>
    <w:multiLevelType w:val="multilevel"/>
    <w:tmpl w:val="F6D8493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017C3C7F"/>
    <w:multiLevelType w:val="multilevel"/>
    <w:tmpl w:val="017C3C7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044790FC"/>
    <w:multiLevelType w:val="multilevel"/>
    <w:tmpl w:val="044790F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16C320D2"/>
    <w:multiLevelType w:val="multilevel"/>
    <w:tmpl w:val="16C320D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1AE58F6A"/>
    <w:multiLevelType w:val="multilevel"/>
    <w:tmpl w:val="1AE58F6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1B53E210"/>
    <w:multiLevelType w:val="multilevel"/>
    <w:tmpl w:val="1B53E21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1FDDA1F1"/>
    <w:multiLevelType w:val="multilevel"/>
    <w:tmpl w:val="1FDDA1F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30F6C590"/>
    <w:multiLevelType w:val="multilevel"/>
    <w:tmpl w:val="30F6C59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4B156F70"/>
    <w:multiLevelType w:val="multilevel"/>
    <w:tmpl w:val="4B156F7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5CF2E215"/>
    <w:multiLevelType w:val="multilevel"/>
    <w:tmpl w:val="5CF2E21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79CCD4F6"/>
    <w:multiLevelType w:val="multilevel"/>
    <w:tmpl w:val="79CCD4F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4"/>
  </w:num>
  <w:num w:numId="2">
    <w:abstractNumId w:val="8"/>
  </w:num>
  <w:num w:numId="3">
    <w:abstractNumId w:val="19"/>
  </w:num>
  <w:num w:numId="4">
    <w:abstractNumId w:val="6"/>
  </w:num>
  <w:num w:numId="5">
    <w:abstractNumId w:val="22"/>
  </w:num>
  <w:num w:numId="6">
    <w:abstractNumId w:val="14"/>
  </w:num>
  <w:num w:numId="7">
    <w:abstractNumId w:val="2"/>
  </w:num>
  <w:num w:numId="8">
    <w:abstractNumId w:val="21"/>
  </w:num>
  <w:num w:numId="9">
    <w:abstractNumId w:val="17"/>
  </w:num>
  <w:num w:numId="10">
    <w:abstractNumId w:val="20"/>
  </w:num>
  <w:num w:numId="11">
    <w:abstractNumId w:val="13"/>
  </w:num>
  <w:num w:numId="12">
    <w:abstractNumId w:val="12"/>
  </w:num>
  <w:num w:numId="13">
    <w:abstractNumId w:val="15"/>
  </w:num>
  <w:num w:numId="14">
    <w:abstractNumId w:val="0"/>
  </w:num>
  <w:num w:numId="15">
    <w:abstractNumId w:val="10"/>
  </w:num>
  <w:num w:numId="16">
    <w:abstractNumId w:val="23"/>
  </w:num>
  <w:num w:numId="17">
    <w:abstractNumId w:val="1"/>
  </w:num>
  <w:num w:numId="18">
    <w:abstractNumId w:val="9"/>
  </w:num>
  <w:num w:numId="19">
    <w:abstractNumId w:val="3"/>
  </w:num>
  <w:num w:numId="20">
    <w:abstractNumId w:val="16"/>
  </w:num>
  <w:num w:numId="21">
    <w:abstractNumId w:val="7"/>
  </w:num>
  <w:num w:numId="22">
    <w:abstractNumId w:val="5"/>
  </w:num>
  <w:num w:numId="23">
    <w:abstractNumId w:val="18"/>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731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TML Variable"/>
    <w:basedOn w:val="5"/>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2024-12-23T03:54:08Z</dcterms:created>
  <dc:creator>Administrator</dc:creator>
  <cp:lastModifiedBy>伶仃</cp:lastModifiedBy>
  <dcterms:modified xsi:type="dcterms:W3CDTF">2024-12-23T03:54:27Z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7767440CC0264E2B95A5E100FFDDAA06_12</vt:lpwstr>
  </property>
</Properties>
</file>