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4C866">
      <w:pPr>
        <w:rPr>
          <w:rFonts w:hint="eastAsia"/>
          <w:lang w:val="en-US" w:eastAsia="zh-CN"/>
        </w:rPr>
      </w:pPr>
      <w:r>
        <w:rPr>
          <w:rFonts w:hint="eastAsia"/>
          <w:lang w:val="en-US" w:eastAsia="zh-CN"/>
        </w:rPr>
        <w:t>模具设计复习资料</w:t>
      </w:r>
    </w:p>
    <w:p w14:paraId="3A2BE563">
      <w:pPr>
        <w:pStyle w:val="2"/>
        <w:wordWrap w:val="0"/>
        <w:spacing w:line="360" w:lineRule="auto"/>
        <w:rPr>
          <w:rFonts w:hint="eastAsia" w:ascii="Times New Roman" w:hAnsi="Times New Roman"/>
          <w:color w:val="000000"/>
          <w:sz w:val="24"/>
        </w:rPr>
      </w:pPr>
      <w:r>
        <w:rPr>
          <w:rFonts w:hint="eastAsia" w:ascii="Times New Roman" w:hAnsi="Times New Roman" w:cs="Times New Roman"/>
          <w:color w:val="000000"/>
          <w:sz w:val="24"/>
          <w:szCs w:val="24"/>
        </w:rPr>
        <w:t>1.</w:t>
      </w:r>
      <w:r>
        <w:rPr>
          <w:rFonts w:ascii="Times New Roman" w:hAnsi="Times New Roman" w:cs="Times New Roman"/>
          <w:color w:val="000000"/>
          <w:sz w:val="24"/>
          <w:szCs w:val="24"/>
        </w:rPr>
        <w:t xml:space="preserve"> </w:t>
      </w:r>
      <w:r>
        <w:rPr>
          <w:rFonts w:hint="eastAsia" w:ascii="Times New Roman" w:hAnsi="Times New Roman"/>
          <w:color w:val="000000"/>
          <w:sz w:val="24"/>
        </w:rPr>
        <w:t>模具制造中常用的毛坯类型是</w:t>
      </w:r>
      <w:r>
        <w:rPr>
          <w:rFonts w:hint="eastAsia"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rPr>
        <w:t>。</w:t>
      </w:r>
      <w:r>
        <w:rPr>
          <w:rFonts w:hint="eastAsia" w:ascii="Times New Roman" w:hAnsi="Times New Roman"/>
          <w:color w:val="000000"/>
          <w:sz w:val="24"/>
        </w:rPr>
        <w:t xml:space="preserve">                             </w:t>
      </w:r>
      <w:r>
        <w:rPr>
          <w:rFonts w:hint="eastAsia" w:ascii="Times New Roman" w:hAnsi="Times New Roman" w:cs="Times New Roman"/>
          <w:color w:val="000000"/>
          <w:sz w:val="24"/>
          <w:szCs w:val="24"/>
        </w:rPr>
        <w:t>(  C</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w:t>
      </w:r>
    </w:p>
    <w:p w14:paraId="3FA9A8E7">
      <w:pPr>
        <w:pStyle w:val="2"/>
        <w:wordWrap w:val="0"/>
        <w:spacing w:line="360" w:lineRule="auto"/>
        <w:rPr>
          <w:rFonts w:hint="eastAsia" w:ascii="Times New Roman" w:hAnsi="Times New Roman"/>
          <w:color w:val="000000"/>
          <w:sz w:val="24"/>
        </w:rPr>
      </w:pPr>
      <w:r>
        <w:rPr>
          <w:rFonts w:hint="eastAsia" w:ascii="Times New Roman" w:hAnsi="Times New Roman"/>
          <w:color w:val="000000"/>
          <w:sz w:val="24"/>
        </w:rPr>
        <w:t>A. 铸件   B. 焊件   C. 型材   D</w:t>
      </w:r>
      <w:r>
        <w:rPr>
          <w:rFonts w:ascii="Times New Roman" w:hAnsi="Times New Roman"/>
          <w:color w:val="000000"/>
          <w:sz w:val="24"/>
        </w:rPr>
        <w:t>.</w:t>
      </w:r>
      <w:r>
        <w:rPr>
          <w:rFonts w:hint="eastAsia" w:ascii="Times New Roman" w:hAnsi="Times New Roman"/>
          <w:color w:val="000000"/>
          <w:sz w:val="24"/>
        </w:rPr>
        <w:t xml:space="preserve"> 水泥</w:t>
      </w:r>
    </w:p>
    <w:p w14:paraId="1FB43A2C">
      <w:pPr>
        <w:pStyle w:val="2"/>
        <w:wordWrap w:val="0"/>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2.</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制造模具的材料要求不包括</w:t>
      </w:r>
      <w:r>
        <w:rPr>
          <w:rFonts w:hint="eastAsia"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rPr>
        <w:t>。</w:t>
      </w:r>
      <w:r>
        <w:rPr>
          <w:rFonts w:hint="eastAsia" w:ascii="Times New Roman" w:hAnsi="Times New Roman"/>
          <w:color w:val="000000"/>
          <w:sz w:val="24"/>
        </w:rPr>
        <w:t xml:space="preserve">                               </w:t>
      </w:r>
      <w:r>
        <w:rPr>
          <w:rFonts w:hint="eastAsia" w:ascii="Times New Roman" w:hAnsi="Times New Roman" w:cs="Times New Roman"/>
          <w:color w:val="000000"/>
          <w:sz w:val="24"/>
          <w:szCs w:val="24"/>
        </w:rPr>
        <w:t>(  D</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w:t>
      </w:r>
    </w:p>
    <w:p w14:paraId="0B7597EE">
      <w:pPr>
        <w:pStyle w:val="2"/>
        <w:wordWrap w:val="0"/>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A. 高强度   B. 高韧性   C. 耐腐蚀性   D、高导热性</w:t>
      </w:r>
    </w:p>
    <w:p w14:paraId="621FFECC">
      <w:pPr>
        <w:pStyle w:val="2"/>
        <w:wordWrap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hint="eastAsia" w:ascii="Times New Roman" w:hAnsi="Times New Roman" w:cs="Times New Roman"/>
          <w:color w:val="000000"/>
          <w:sz w:val="24"/>
          <w:szCs w:val="24"/>
        </w:rPr>
        <w:t>. 注射机的锁模力必须大于型腔内熔体压力与塑件和浇注系统在分型面上</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rPr>
        <w:t>的乘积。                                                            (  D )</w:t>
      </w:r>
    </w:p>
    <w:p w14:paraId="423D01C4">
      <w:pPr>
        <w:pStyle w:val="2"/>
        <w:wordWrap w:val="0"/>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A、模板面积 B、浇口截面积 C、分型面 D、投影面积</w:t>
      </w:r>
    </w:p>
    <w:p w14:paraId="0BC0C101">
      <w:pPr>
        <w:pStyle w:val="2"/>
        <w:wordWrap w:val="0"/>
        <w:spacing w:line="360" w:lineRule="auto"/>
        <w:rPr>
          <w:rFonts w:ascii="Times New Roman" w:hAnsi="Times New Roman"/>
          <w:color w:val="000000"/>
          <w:sz w:val="24"/>
        </w:rPr>
      </w:pPr>
      <w:r>
        <w:rPr>
          <w:rFonts w:hint="eastAsia" w:ascii="Times New Roman" w:hAnsi="Times New Roman"/>
          <w:color w:val="000000"/>
          <w:sz w:val="24"/>
        </w:rPr>
        <w:t>4. 以下哪种模具制造工艺精度最高</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olor w:val="000000"/>
          <w:sz w:val="24"/>
        </w:rPr>
        <w:t>？</w:t>
      </w:r>
      <w:r>
        <w:rPr>
          <w:rFonts w:hint="eastAsia" w:ascii="Times New Roman" w:hAnsi="Times New Roman" w:cs="Times New Roman"/>
          <w:color w:val="000000"/>
          <w:sz w:val="24"/>
          <w:szCs w:val="24"/>
        </w:rPr>
        <w:t xml:space="preserve">                            (  A )</w:t>
      </w:r>
      <w:r>
        <w:rPr>
          <w:rFonts w:hint="eastAsia" w:ascii="Times New Roman" w:hAnsi="Times New Roman"/>
          <w:color w:val="000000"/>
          <w:sz w:val="24"/>
        </w:rPr>
        <w:t>A. 电火花加工   B. 线切割加工   C. 数控铣加工   D. 普通铣加工</w:t>
      </w:r>
    </w:p>
    <w:p w14:paraId="1846CAC6">
      <w:pPr>
        <w:pStyle w:val="2"/>
        <w:wordWrap w:val="0"/>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5. 模具中冷却水道的直径一般为</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olor w:val="000000"/>
          <w:sz w:val="24"/>
        </w:rPr>
        <w:t>？</w:t>
      </w:r>
      <w:r>
        <w:rPr>
          <w:rFonts w:hint="eastAsia" w:ascii="Times New Roman" w:hAnsi="Times New Roman" w:cs="Times New Roman"/>
          <w:color w:val="000000"/>
          <w:sz w:val="24"/>
          <w:szCs w:val="24"/>
        </w:rPr>
        <w:t xml:space="preserve">                              (  B )</w:t>
      </w:r>
    </w:p>
    <w:p w14:paraId="4211E0FD">
      <w:pPr>
        <w:pStyle w:val="2"/>
        <w:wordWrap w:val="0"/>
        <w:spacing w:line="360" w:lineRule="auto"/>
        <w:rPr>
          <w:rFonts w:ascii="Times New Roman" w:hAnsi="Times New Roman"/>
          <w:color w:val="000000"/>
          <w:sz w:val="24"/>
        </w:rPr>
      </w:pPr>
      <w:r>
        <w:rPr>
          <w:rFonts w:ascii="Times New Roman" w:hAnsi="Times New Roman" w:cs="Times New Roman"/>
          <w:color w:val="000000"/>
          <w:sz w:val="24"/>
          <w:szCs w:val="24"/>
        </w:rPr>
        <w:t>A. 3 – 5</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mm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B. 6 – 10</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mm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C. 12 – 15</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mm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D. 15 – 20</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mm</w:t>
      </w:r>
    </w:p>
    <w:p w14:paraId="74244D65">
      <w:pPr>
        <w:pStyle w:val="2"/>
        <w:wordWrap w:val="0"/>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6. 注塑模具中主流道衬套与喷嘴的接触形式通常为</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olor w:val="000000"/>
          <w:sz w:val="24"/>
        </w:rPr>
        <w:t>？</w:t>
      </w:r>
      <w:r>
        <w:rPr>
          <w:rFonts w:hint="eastAsia" w:ascii="Times New Roman" w:hAnsi="Times New Roman" w:cs="Times New Roman"/>
          <w:color w:val="000000"/>
          <w:sz w:val="24"/>
          <w:szCs w:val="24"/>
        </w:rPr>
        <w:t xml:space="preserve">              (  C )</w:t>
      </w:r>
    </w:p>
    <w:p w14:paraId="1BF93234">
      <w:pPr>
        <w:pStyle w:val="2"/>
        <w:wordWrap w:val="0"/>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A. 球面接触   B. 平面接触   C. 锥面接触   D. 圆柱面接触</w:t>
      </w:r>
    </w:p>
    <w:p w14:paraId="4900F837">
      <w:pPr>
        <w:pStyle w:val="2"/>
        <w:wordWrap w:val="0"/>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7</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注塑模具中顶出机构的作用是</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A</w:t>
      </w:r>
      <w:r>
        <w:rPr>
          <w:rFonts w:hint="eastAsia" w:ascii="Times New Roman" w:hAnsi="Times New Roman" w:cs="Times New Roman"/>
          <w:color w:val="000000"/>
          <w:sz w:val="24"/>
          <w:szCs w:val="24"/>
        </w:rPr>
        <w:t xml:space="preserve">  )</w:t>
      </w:r>
    </w:p>
    <w:p w14:paraId="69A4C602">
      <w:pPr>
        <w:pStyle w:val="2"/>
        <w:wordWrap w:val="0"/>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A. 推出塑件   B. 合模   C. 注射塑料   D. 冷却模具</w:t>
      </w:r>
    </w:p>
    <w:p w14:paraId="2CB971E7">
      <w:pPr>
        <w:pStyle w:val="2"/>
        <w:spacing w:line="360" w:lineRule="auto"/>
        <w:rPr>
          <w:rFonts w:hint="eastAsia" w:ascii="Times New Roman" w:hAnsi="Times New Roman" w:cs="Times New Roman"/>
          <w:color w:val="000000"/>
          <w:sz w:val="24"/>
          <w:szCs w:val="24"/>
        </w:rPr>
      </w:pPr>
      <w:r>
        <w:rPr>
          <w:rFonts w:ascii="Times New Roman" w:hAnsi="Times New Roman" w:cs="Times New Roman"/>
          <w:b/>
          <w:bCs/>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4229100</wp:posOffset>
                </wp:positionH>
                <wp:positionV relativeFrom="paragraph">
                  <wp:posOffset>99060</wp:posOffset>
                </wp:positionV>
                <wp:extent cx="1143000" cy="396240"/>
                <wp:effectExtent l="0" t="0" r="0" b="0"/>
                <wp:wrapSquare wrapText="bothSides"/>
                <wp:docPr id="1" name="文本框 1"/>
                <wp:cNvGraphicFramePr/>
                <a:graphic xmlns:a="http://schemas.openxmlformats.org/drawingml/2006/main">
                  <a:graphicData uri="http://schemas.microsoft.com/office/word/2010/wordprocessingShape">
                    <wps:wsp>
                      <wps:cNvSpPr txBox="1"/>
                      <wps:spPr>
                        <a:xfrm>
                          <a:off x="0" y="0"/>
                          <a:ext cx="1143000" cy="396240"/>
                        </a:xfrm>
                        <a:prstGeom prst="rect">
                          <a:avLst/>
                        </a:prstGeom>
                        <a:noFill/>
                        <a:ln>
                          <a:noFill/>
                        </a:ln>
                      </wps:spPr>
                      <wps:txbx>
                        <w:txbxContent>
                          <w:p w14:paraId="1FE23766"/>
                        </w:txbxContent>
                      </wps:txbx>
                      <wps:bodyPr lIns="36000" tIns="0" rIns="0" bIns="0" upright="1"/>
                    </wps:wsp>
                  </a:graphicData>
                </a:graphic>
              </wp:anchor>
            </w:drawing>
          </mc:Choice>
          <mc:Fallback>
            <w:pict>
              <v:shape id="_x0000_s1026" o:spid="_x0000_s1026" o:spt="202" type="#_x0000_t202" style="position:absolute;left:0pt;margin-left:333pt;margin-top:7.8pt;height:31.2pt;width:90pt;mso-wrap-distance-bottom:0pt;mso-wrap-distance-left:9pt;mso-wrap-distance-right:9pt;mso-wrap-distance-top:0pt;z-index:251659264;mso-width-relative:page;mso-height-relative:page;" filled="f" stroked="f" coordsize="21600,21600" o:gfxdata="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1JsgU1gAAAAkBAAAPAAAAAAAAAAEAIAAAACIAAABkcnMvZG93bnJldi54bWxQSwEC&#10;FAAUAAAACACHTuJAUmSGzr0BAAB2AwAADgAAAAAAAAABACAAAAAlAQAAZHJzL2Uyb0RvYy54bWxQ&#10;SwUGAAAAAAYABgBZAQAAVAUAAAAA&#10;">
                <v:path/>
                <v:fill on="f" focussize="0,0"/>
                <v:stroke on="f"/>
                <v:imagedata o:title=""/>
                <o:lock v:ext="edit" grouping="f" rotation="f" text="f" aspectratio="f"/>
                <v:textbox inset="1mm,0mm,0mm,0mm">
                  <w:txbxContent>
                    <w:p w14:paraId="1FE23766"/>
                  </w:txbxContent>
                </v:textbox>
                <w10:wrap type="square"/>
              </v:shape>
            </w:pict>
          </mc:Fallback>
        </mc:AlternateContent>
      </w:r>
    </w:p>
    <w:p w14:paraId="5E933297">
      <w:pPr>
        <w:pStyle w:val="2"/>
        <w:spacing w:line="360" w:lineRule="auto"/>
        <w:ind w:left="412" w:leftChars="1" w:hanging="410" w:hangingChars="170"/>
        <w:rPr>
          <w:rFonts w:hint="eastAsia" w:ascii="Times New Roman" w:hAnsi="Times New Roman" w:cs="Times New Roman"/>
          <w:b/>
          <w:bCs/>
          <w:color w:val="000000"/>
          <w:sz w:val="24"/>
          <w:szCs w:val="24"/>
        </w:rPr>
      </w:pPr>
      <w:r>
        <w:rPr>
          <w:rFonts w:hint="eastAsia" w:ascii="Times New Roman" w:hAnsi="Times New Roman" w:cs="Times New Roman"/>
          <w:b/>
          <w:bCs/>
          <w:color w:val="000000"/>
          <w:sz w:val="24"/>
          <w:szCs w:val="24"/>
        </w:rPr>
        <w:t>二、多项选择题</w:t>
      </w:r>
    </w:p>
    <w:p w14:paraId="3D113D58">
      <w:pPr>
        <w:pStyle w:val="2"/>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1. 模具设计的基本要求</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（A</w:t>
      </w:r>
      <w:r>
        <w:rPr>
          <w:rFonts w:ascii="Times New Roman" w:hAnsi="Times New Roman" w:cs="Times New Roman"/>
          <w:color w:val="000000"/>
          <w:sz w:val="24"/>
          <w:szCs w:val="24"/>
        </w:rPr>
        <w:t>BCD</w:t>
      </w:r>
      <w:r>
        <w:rPr>
          <w:rFonts w:hint="eastAsia" w:ascii="Times New Roman" w:hAnsi="Times New Roman" w:cs="Times New Roman"/>
          <w:color w:val="000000"/>
          <w:sz w:val="24"/>
          <w:szCs w:val="24"/>
        </w:rPr>
        <w:t>）</w:t>
      </w:r>
    </w:p>
    <w:p w14:paraId="122360C9">
      <w:pPr>
        <w:pStyle w:val="2"/>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A. 保证塑件质量   B. 提高生产效率   C. 降低成本   D. 操作安全方便</w:t>
      </w:r>
    </w:p>
    <w:p w14:paraId="516C6ACD">
      <w:pPr>
        <w:pStyle w:val="2"/>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2.</w:t>
      </w:r>
      <w:r>
        <w:rPr>
          <w:rFonts w:ascii="Times New Roman" w:hAnsi="Times New Roman" w:cs="宋体"/>
          <w:color w:val="000000"/>
          <w:kern w:val="0"/>
          <w:sz w:val="24"/>
          <w:szCs w:val="24"/>
        </w:rPr>
        <w:t xml:space="preserve"> </w:t>
      </w:r>
      <w:r>
        <w:rPr>
          <w:rFonts w:hint="eastAsia" w:ascii="Times New Roman" w:hAnsi="Times New Roman" w:cs="Times New Roman"/>
          <w:color w:val="000000"/>
          <w:sz w:val="24"/>
          <w:szCs w:val="24"/>
        </w:rPr>
        <w:t>模具材料应具备的性能有</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（A</w:t>
      </w:r>
      <w:r>
        <w:rPr>
          <w:rFonts w:ascii="Times New Roman" w:hAnsi="Times New Roman" w:cs="Times New Roman"/>
          <w:color w:val="000000"/>
          <w:sz w:val="24"/>
          <w:szCs w:val="24"/>
        </w:rPr>
        <w:t>BCD</w:t>
      </w:r>
      <w:r>
        <w:rPr>
          <w:rFonts w:hint="eastAsia" w:ascii="Times New Roman" w:hAnsi="Times New Roman" w:cs="Times New Roman"/>
          <w:color w:val="000000"/>
          <w:sz w:val="24"/>
          <w:szCs w:val="24"/>
        </w:rPr>
        <w:t>）A. 高硬度   B. 高强度   C. 良好的韧性   D. 良好的耐磨性</w:t>
      </w:r>
    </w:p>
    <w:p w14:paraId="1BCBA97D">
      <w:pPr>
        <w:pStyle w:val="2"/>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3.</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注塑模具的组成部分有</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 xml:space="preserve">           （A</w:t>
      </w:r>
      <w:r>
        <w:rPr>
          <w:rFonts w:ascii="Times New Roman" w:hAnsi="Times New Roman" w:cs="Times New Roman"/>
          <w:color w:val="000000"/>
          <w:sz w:val="24"/>
          <w:szCs w:val="24"/>
        </w:rPr>
        <w:t>BCD</w:t>
      </w:r>
      <w:r>
        <w:rPr>
          <w:rFonts w:hint="eastAsia" w:ascii="Times New Roman" w:hAnsi="Times New Roman" w:cs="Times New Roman"/>
          <w:color w:val="000000"/>
          <w:sz w:val="24"/>
          <w:szCs w:val="24"/>
        </w:rPr>
        <w:t>）A. 成型零部件   B. 浇注系统   C. 冷却系统   D. 顶出机构</w:t>
      </w:r>
    </w:p>
    <w:p w14:paraId="1B8775CA">
      <w:pPr>
        <w:pStyle w:val="2"/>
        <w:spacing w:line="360" w:lineRule="auto"/>
        <w:rPr>
          <w:rFonts w:ascii="Times New Roman" w:hAnsi="Times New Roman" w:cs="Times New Roman"/>
          <w:b/>
          <w:bCs/>
          <w:color w:val="000000"/>
          <w:sz w:val="24"/>
          <w:szCs w:val="24"/>
        </w:rPr>
      </w:pPr>
      <w:r>
        <w:rPr>
          <w:rFonts w:hint="eastAsia" w:ascii="Times New Roman" w:hAnsi="Times New Roman" w:cs="Times New Roman"/>
          <w:b/>
          <w:bCs/>
          <w:color w:val="000000"/>
          <w:sz w:val="24"/>
          <w:szCs w:val="24"/>
        </w:rPr>
        <w:t>三、简答题</w:t>
      </w:r>
    </w:p>
    <w:p w14:paraId="6F133B4C">
      <w:pPr>
        <w:pStyle w:val="2"/>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1. 影响塑件收缩的因素有哪几方面？</w:t>
      </w:r>
    </w:p>
    <w:p w14:paraId="33F658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Style w:val="5"/>
          <w:b/>
          <w:bCs/>
          <w:color w:val="1F2329"/>
          <w:sz w:val="24"/>
          <w:szCs w:val="24"/>
        </w:rPr>
        <w:t>塑料材料</w:t>
      </w:r>
      <w:r>
        <w:rPr>
          <w:color w:val="1F2329"/>
          <w:sz w:val="24"/>
          <w:szCs w:val="24"/>
        </w:rPr>
        <w:t>：结晶型塑料（如 PE、PP）收缩率大，非结晶型（如 PS、ABS）收缩率小；增强塑料收缩率显著降低。</w:t>
      </w:r>
    </w:p>
    <w:p w14:paraId="3C434D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Style w:val="5"/>
          <w:b/>
          <w:bCs/>
          <w:color w:val="1F2329"/>
          <w:sz w:val="24"/>
          <w:szCs w:val="24"/>
        </w:rPr>
        <w:t>塑件结构</w:t>
      </w:r>
      <w:r>
        <w:rPr>
          <w:color w:val="1F2329"/>
          <w:sz w:val="24"/>
          <w:szCs w:val="24"/>
        </w:rPr>
        <w:t>：</w:t>
      </w:r>
      <w:r>
        <w:rPr>
          <w:rStyle w:val="5"/>
          <w:b/>
          <w:bCs/>
          <w:color w:val="1F2329"/>
          <w:sz w:val="24"/>
          <w:szCs w:val="24"/>
        </w:rPr>
        <w:t>壁厚</w:t>
      </w:r>
      <w:r>
        <w:rPr>
          <w:color w:val="1F2329"/>
          <w:sz w:val="24"/>
          <w:szCs w:val="24"/>
        </w:rPr>
        <w:t>是关键因素，壁越厚收缩越大；形状复杂或有加强筋处收缩受阻，收缩率较小。</w:t>
      </w:r>
    </w:p>
    <w:p w14:paraId="78CADD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1F2329"/>
          <w:sz w:val="24"/>
          <w:szCs w:val="24"/>
        </w:rPr>
      </w:pPr>
      <w:r>
        <w:rPr>
          <w:rStyle w:val="5"/>
          <w:b/>
          <w:bCs/>
          <w:color w:val="1F2329"/>
          <w:sz w:val="24"/>
          <w:szCs w:val="24"/>
        </w:rPr>
        <w:t>成型工艺</w:t>
      </w:r>
      <w:r>
        <w:rPr>
          <w:color w:val="1F2329"/>
          <w:sz w:val="24"/>
          <w:szCs w:val="24"/>
        </w:rPr>
        <w:t>：注射压力、保压压力越大，收缩越小；模具温度、熔体温度越高，收缩越大。</w:t>
      </w:r>
    </w:p>
    <w:p w14:paraId="04D2D0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Times New Roman" w:hAnsi="Times New Roman" w:cs="Times New Roman"/>
          <w:color w:val="000000"/>
          <w:sz w:val="24"/>
          <w:szCs w:val="24"/>
        </w:rPr>
      </w:pPr>
      <w:r>
        <w:rPr>
          <w:rStyle w:val="5"/>
          <w:b/>
          <w:bCs/>
          <w:color w:val="1F2329"/>
          <w:sz w:val="24"/>
          <w:szCs w:val="24"/>
        </w:rPr>
        <w:t>模具结构</w:t>
      </w:r>
      <w:r>
        <w:rPr>
          <w:color w:val="1F2329"/>
          <w:sz w:val="24"/>
          <w:szCs w:val="24"/>
        </w:rPr>
        <w:t>：浇口的形式、位置和尺寸影响分子取向，进而影响收缩的方向性；模具结构对塑件的约束也会限制收缩。</w:t>
      </w:r>
    </w:p>
    <w:p w14:paraId="3B026FE3">
      <w:pPr>
        <w:pStyle w:val="2"/>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2.</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模具制造中常用的特种加工方法有哪些？</w:t>
      </w:r>
    </w:p>
    <w:p w14:paraId="5D5EE813">
      <w:pPr>
        <w:pStyle w:val="2"/>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电火花加工（EDM）：用于加工复杂型腔和型孔。</w:t>
      </w:r>
    </w:p>
    <w:p w14:paraId="01388FCD">
      <w:pPr>
        <w:pStyle w:val="2"/>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数控线切割（WEDM）：用于切割冲模刃口、镶块及电极。</w:t>
      </w:r>
    </w:p>
    <w:p w14:paraId="18378ACB">
      <w:pPr>
        <w:pStyle w:val="2"/>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电解加工（ECM）：用于深孔加工或去毛刺。</w:t>
      </w:r>
    </w:p>
    <w:p w14:paraId="3A200220">
      <w:pPr>
        <w:pStyle w:val="2"/>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激光加工（LBM）：用于打标、雕刻纹理或微孔加工。</w:t>
      </w:r>
    </w:p>
    <w:p w14:paraId="0E611B5E">
      <w:pPr>
        <w:pStyle w:val="2"/>
        <w:spacing w:line="360" w:lineRule="auto"/>
        <w:rPr>
          <w:rFonts w:hint="eastAsia" w:ascii="Times New Roman" w:hAnsi="Times New Roman" w:cs="Times New Roman"/>
          <w:color w:val="000000"/>
          <w:sz w:val="24"/>
          <w:szCs w:val="24"/>
        </w:rPr>
      </w:pPr>
      <w:r>
        <w:rPr>
          <w:rFonts w:ascii="Times New Roman" w:hAnsi="Times New Roman" w:cs="Times New Roman"/>
          <w:color w:val="000000"/>
          <w:sz w:val="24"/>
          <w:szCs w:val="24"/>
        </w:rPr>
        <w:t>3</w:t>
      </w:r>
      <w:r>
        <w:rPr>
          <w:rFonts w:hint="eastAsia"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简述压铸模具的工作原理。</w:t>
      </w:r>
    </w:p>
    <w:p w14:paraId="21A911EE">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合模与注入：动模与定模闭合锁紧，压铸机将熔融金属（如铝、锌合金）在高压下高速压射入模具型腔。</w:t>
      </w:r>
    </w:p>
    <w:p w14:paraId="118EEAA0">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保压与凝固：在极高的压力下保持一段时间，直到金属液在型腔内冷却凝固成型。</w:t>
      </w:r>
    </w:p>
    <w:p w14:paraId="0B348CE1">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开模：模具打开，同时利用模具内部的抽芯机构将阻碍脱模的侧型芯抽出。</w:t>
      </w:r>
    </w:p>
    <w:p w14:paraId="235B70A9">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顶出：利用顶出机构将成型的压铸件从模具中推出，完成一个工作循环。</w:t>
      </w:r>
    </w:p>
    <w:p w14:paraId="05618F75">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lang w:val="en-US" w:eastAsia="zh-CN"/>
        </w:rPr>
        <w:t>4</w:t>
      </w:r>
      <w:r>
        <w:rPr>
          <w:rFonts w:hint="eastAsia" w:ascii="Times New Roman" w:hAnsi="Times New Roman" w:cs="Times New Roman"/>
          <w:b w:val="0"/>
          <w:bCs w:val="0"/>
          <w:color w:val="000000"/>
          <w:sz w:val="24"/>
          <w:szCs w:val="24"/>
        </w:rPr>
        <w:t>什么是冲裁间隙？它对冲裁件质量有何影响？</w:t>
      </w:r>
    </w:p>
    <w:p w14:paraId="0C7350B6">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定义：</w:t>
      </w:r>
    </w:p>
    <w:p w14:paraId="1F9A796A">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冲裁间隙是指冲裁模中凸模与凹模刃口之间的尺寸之差（单面间隙）。</w:t>
      </w:r>
    </w:p>
    <w:p w14:paraId="7141D498">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对质量的影响：</w:t>
      </w:r>
    </w:p>
    <w:p w14:paraId="2D51E38A">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间隙合理：上下裂纹重合，冲裁力适中，断面平整光洁，毛刺最小，尺寸精度高。</w:t>
      </w:r>
    </w:p>
    <w:p w14:paraId="71CB3991">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间隙过小：上下裂纹不重合，材料被二次剪切，断面出现二次光亮带，毛刺虽小但易磨损模具。</w:t>
      </w:r>
    </w:p>
    <w:p w14:paraId="5E17704D">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间隙过大：材料受拉伸和弯曲严重，光亮带窄，塌角和断裂带大，毛刺大且厚，尺寸回弹大。</w:t>
      </w:r>
    </w:p>
    <w:p w14:paraId="4A6EABA2">
      <w:pPr>
        <w:pStyle w:val="2"/>
        <w:spacing w:line="360" w:lineRule="auto"/>
        <w:rPr>
          <w:rFonts w:hint="eastAsia" w:ascii="Times New Roman" w:hAnsi="Times New Roman" w:cs="Times New Roman"/>
          <w:b/>
          <w:bCs/>
          <w:color w:val="000000"/>
          <w:sz w:val="24"/>
          <w:szCs w:val="24"/>
        </w:rPr>
      </w:pPr>
      <w:r>
        <w:rPr>
          <w:rFonts w:hint="eastAsia" w:ascii="Times New Roman" w:hAnsi="Times New Roman" w:cs="Times New Roman"/>
          <w:b/>
          <w:bCs/>
          <w:color w:val="000000"/>
          <w:sz w:val="24"/>
          <w:szCs w:val="24"/>
        </w:rPr>
        <w:t>四、分析</w:t>
      </w:r>
      <w:r>
        <w:rPr>
          <w:rFonts w:ascii="Times New Roman" w:hAnsi="Times New Roman" w:cs="Times New Roman"/>
          <w:b/>
          <w:bCs/>
          <w:color w:val="000000"/>
          <w:sz w:val="24"/>
          <w:szCs w:val="24"/>
        </w:rPr>
        <w:t>题</w:t>
      </w:r>
    </w:p>
    <w:p w14:paraId="286F3275">
      <w:pPr>
        <w:pStyle w:val="2"/>
        <w:spacing w:line="360" w:lineRule="auto"/>
        <w:ind w:firstLine="480" w:firstLineChars="200"/>
        <w:rPr>
          <w:rFonts w:hint="eastAsia"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1.</w:t>
      </w:r>
      <w:r>
        <w:rPr>
          <w:rFonts w:hint="eastAsia" w:ascii="Times New Roman" w:hAnsi="Times New Roman" w:cs="Times New Roman"/>
          <w:color w:val="000000"/>
          <w:sz w:val="24"/>
          <w:szCs w:val="24"/>
        </w:rPr>
        <w:t>如何在模具设计中提高模具的可靠性和稳定性？</w:t>
      </w:r>
    </w:p>
    <w:p w14:paraId="5CC5B87E">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在模具设计中提高可靠性和稳定性，简要措施如下：</w:t>
      </w:r>
    </w:p>
    <w:p w14:paraId="7710E730">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选材与热处理：选用优质模具钢，并进行合理的热处理（如淬火、回火），确保硬度和韧性。</w:t>
      </w:r>
    </w:p>
    <w:p w14:paraId="3FF25F65">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增强刚性与强度：增加模板厚度，设置支撑柱（撑头），对细长型芯加强保护，防止受压变形。</w:t>
      </w:r>
    </w:p>
    <w:p w14:paraId="0B552F41">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优化冷却系统：设计随形水路，确保冷却均匀，防止模具热变形和产品尺寸波动。</w:t>
      </w:r>
    </w:p>
    <w:p w14:paraId="345F812B">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完善导向与定位：使用高精度导柱导套，大型模具增加锥面定位，保证合模精度。</w:t>
      </w:r>
    </w:p>
    <w:p w14:paraId="1ABD56FD">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易损件镶件化：将容易磨损或可能修改的部位设计成镶件，方便更换和维修。</w:t>
      </w:r>
    </w:p>
    <w:p w14:paraId="55D0FF92">
      <w:pPr>
        <w:pStyle w:val="2"/>
        <w:spacing w:line="360" w:lineRule="auto"/>
        <w:rPr>
          <w:rFonts w:hint="eastAsia" w:ascii="Times New Roman" w:hAnsi="Times New Roman" w:cs="Times New Roman"/>
          <w:b w:val="0"/>
          <w:bCs w:val="0"/>
          <w:color w:val="000000"/>
          <w:sz w:val="24"/>
          <w:szCs w:val="24"/>
        </w:rPr>
      </w:pPr>
      <w:r>
        <w:rPr>
          <w:rFonts w:hint="eastAsia" w:ascii="Times New Roman" w:hAnsi="Times New Roman" w:cs="Times New Roman"/>
          <w:b w:val="0"/>
          <w:bCs w:val="0"/>
          <w:color w:val="000000"/>
          <w:sz w:val="24"/>
          <w:szCs w:val="24"/>
        </w:rPr>
        <w:t>良好的排气：在型腔最后充填处开设足够的排气槽，防止困气导致的产品缺陷。</w:t>
      </w:r>
    </w:p>
    <w:p w14:paraId="37965A7E">
      <w:pPr>
        <w:pStyle w:val="2"/>
        <w:spacing w:line="360" w:lineRule="auto"/>
        <w:rPr>
          <w:rFonts w:hint="eastAsia" w:ascii="Times New Roman" w:hAnsi="Times New Roman" w:cs="Times New Roman"/>
          <w:color w:val="000000"/>
          <w:sz w:val="24"/>
          <w:szCs w:val="24"/>
        </w:rPr>
      </w:pPr>
    </w:p>
    <w:p w14:paraId="42B691C6">
      <w:pPr>
        <w:pStyle w:val="2"/>
        <w:spacing w:line="360" w:lineRule="auto"/>
        <w:rPr>
          <w:rFonts w:hint="eastAsia" w:ascii="Times New Roman" w:hAnsi="Times New Roman" w:cs="Times New Roman"/>
          <w:b/>
          <w:bCs/>
          <w:color w:val="000000"/>
          <w:sz w:val="21"/>
          <w:szCs w:val="21"/>
          <w:lang w:val="en-US" w:eastAsia="zh-CN"/>
        </w:rPr>
      </w:pPr>
      <w:bookmarkStart w:id="0" w:name="_GoBack"/>
      <w:bookmarkEnd w:id="0"/>
    </w:p>
    <w:p w14:paraId="2AA133C8">
      <w:pPr>
        <w:pStyle w:val="2"/>
        <w:spacing w:line="360" w:lineRule="auto"/>
        <w:rPr>
          <w:rFonts w:ascii="Times New Roman" w:hAnsi="Times New Roman" w:cs="Times New Roman"/>
          <w:b/>
          <w:bCs/>
          <w:color w:val="000000"/>
          <w:sz w:val="21"/>
          <w:szCs w:val="21"/>
        </w:rPr>
      </w:pPr>
    </w:p>
    <w:p w14:paraId="00A1FBCC">
      <w:pPr>
        <w:pStyle w:val="2"/>
        <w:spacing w:line="360" w:lineRule="auto"/>
        <w:rPr>
          <w:rFonts w:ascii="Times New Roman" w:hAnsi="Times New Roman" w:cs="Times New Roman"/>
          <w:b/>
          <w:bCs/>
          <w:color w:val="000000"/>
          <w:sz w:val="21"/>
          <w:szCs w:val="21"/>
        </w:rPr>
      </w:pPr>
    </w:p>
    <w:p w14:paraId="432F6788">
      <w:pPr>
        <w:pStyle w:val="2"/>
        <w:spacing w:line="360" w:lineRule="auto"/>
        <w:rPr>
          <w:rFonts w:ascii="Times New Roman" w:hAnsi="Times New Roman" w:cs="Times New Roman"/>
          <w:b/>
          <w:bCs/>
          <w:color w:val="000000"/>
          <w:sz w:val="21"/>
          <w:szCs w:val="21"/>
        </w:rPr>
      </w:pPr>
    </w:p>
    <w:p w14:paraId="4B939AF9">
      <w:pPr>
        <w:pStyle w:val="2"/>
        <w:spacing w:line="360" w:lineRule="auto"/>
        <w:rPr>
          <w:rFonts w:ascii="Times New Roman" w:hAnsi="Times New Roman" w:cs="Times New Roman"/>
          <w:b/>
          <w:bCs/>
          <w:color w:val="000000"/>
          <w:sz w:val="21"/>
          <w:szCs w:val="21"/>
        </w:rPr>
      </w:pPr>
    </w:p>
    <w:p w14:paraId="4CF267DB">
      <w:pPr>
        <w:pStyle w:val="2"/>
        <w:spacing w:line="360" w:lineRule="auto"/>
        <w:rPr>
          <w:rFonts w:ascii="Times New Roman" w:hAnsi="Times New Roman" w:cs="Times New Roman"/>
          <w:b/>
          <w:bCs/>
          <w:color w:val="000000"/>
          <w:sz w:val="21"/>
          <w:szCs w:val="21"/>
        </w:rPr>
      </w:pPr>
    </w:p>
    <w:p w14:paraId="713F1FD3">
      <w:pPr>
        <w:pStyle w:val="2"/>
        <w:spacing w:line="360" w:lineRule="auto"/>
        <w:rPr>
          <w:rFonts w:ascii="Times New Roman" w:hAnsi="Times New Roman" w:cs="Times New Roman"/>
          <w:b/>
          <w:bCs/>
          <w:color w:val="000000"/>
          <w:sz w:val="21"/>
          <w:szCs w:val="21"/>
        </w:rPr>
      </w:pPr>
    </w:p>
    <w:p w14:paraId="0C049E1C">
      <w:pPr>
        <w:pStyle w:val="2"/>
        <w:spacing w:line="360" w:lineRule="auto"/>
        <w:rPr>
          <w:rFonts w:ascii="Times New Roman" w:hAnsi="Times New Roman" w:cs="Times New Roman"/>
          <w:b/>
          <w:bCs/>
          <w:color w:val="000000"/>
          <w:sz w:val="21"/>
          <w:szCs w:val="21"/>
        </w:rPr>
      </w:pPr>
    </w:p>
    <w:p w14:paraId="1BE0542B">
      <w:pPr>
        <w:pStyle w:val="2"/>
        <w:spacing w:line="360" w:lineRule="auto"/>
        <w:rPr>
          <w:rFonts w:ascii="Times New Roman" w:hAnsi="Times New Roman" w:cs="Times New Roman"/>
          <w:b/>
          <w:bCs/>
          <w:color w:val="000000"/>
          <w:sz w:val="21"/>
          <w:szCs w:val="21"/>
        </w:rPr>
      </w:pPr>
    </w:p>
    <w:p w14:paraId="6E5D4412">
      <w:pPr>
        <w:pStyle w:val="2"/>
        <w:spacing w:line="360" w:lineRule="auto"/>
        <w:rPr>
          <w:rFonts w:ascii="Times New Roman" w:hAnsi="Times New Roman" w:cs="Times New Roman"/>
          <w:b/>
          <w:bCs/>
          <w:color w:val="000000"/>
          <w:sz w:val="21"/>
          <w:szCs w:val="21"/>
        </w:rPr>
      </w:pPr>
    </w:p>
    <w:p w14:paraId="7D84119C">
      <w:pPr>
        <w:rPr>
          <w:rFonts w:hint="eastAsia" w:ascii="宋体" w:hAnsi="宋体"/>
        </w:rPr>
      </w:pPr>
    </w:p>
    <w:p w14:paraId="116A4A59">
      <w:pPr>
        <w:rPr>
          <w:rFonts w:hint="eastAsia" w:ascii="宋体" w:hAnsi="宋体"/>
        </w:rPr>
      </w:pPr>
    </w:p>
    <w:p w14:paraId="36A8AA51">
      <w:pPr>
        <w:rPr>
          <w:rFonts w:hint="eastAsia" w:ascii="宋体" w:hAnsi="宋体"/>
        </w:rPr>
      </w:pPr>
    </w:p>
    <w:p w14:paraId="6A0E5C00">
      <w:pPr>
        <w:rPr>
          <w:rFonts w:hint="eastAsia" w:ascii="宋体" w:hAnsi="宋体" w:cs="宋体"/>
          <w:szCs w:val="21"/>
        </w:rPr>
      </w:pPr>
    </w:p>
    <w:p w14:paraId="5F6F78B6">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52B02"/>
    <w:rsid w:val="53E52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2026-01-13T00:39:00Z</dcterms:created>
  <dc:creator>黄岩育华李才聪</dc:creator>
  <cp:lastModifiedBy>黄岩育华李才聪</cp:lastModifiedBy>
  <dcterms:modified xsi:type="dcterms:W3CDTF">2026-01-13T00:43:19Z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E17E57F434994DE38EC775B2CAA1EC6A_11</vt:lpwstr>
  </property>
  <property fmtid="{D5CDD505-2E9C-101B-9397-08002B2CF9AE}" pid="4" name="KSOTemplateDocerSaveRecord">
    <vt:lpwstr>eyJoZGlkIjoiZmQ4ZTQyZDdmOTI0NjQ5MTBlMjM4MTBkY2Y5N2MwMzYiLCJ1c2VySWQiOiI0NTY2Nzc2NjkifQ==</vt:lpwstr>
  </property>
</Properties>
</file>