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lang w:val="en-US" w:eastAsia="zh-CN"/>
        </w:rPr>
      </w:pPr>
      <w:r>
        <w:rPr>
          <w:rFonts w:hint="eastAsia"/>
          <w:b/>
          <w:bCs/>
          <w:sz w:val="28"/>
          <w:szCs w:val="28"/>
          <w:lang w:val="en-US" w:eastAsia="zh-CN"/>
        </w:rPr>
        <w:t>民事诉讼法复习资料</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一、单项选择题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1.二审法院发现一审判决的事实认定存在错误，应当(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A.撤销原判，发回重审               B.指示一审法院予以改判</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C.依法改判                         D.撤销原判，发回重审或查清事实后改判</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2.在执行程序中，双方当事人自愿达成和解协议，和解协议履行完毕后，一方当事人提出恢复执行程序。下列哪一选项是正确的？(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A.和解协议无效，应恢复执行原判决</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B.和解协议已履行完毕，应执行回转</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C.和解协议有效，当事人反悔应恢复执行原判决</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D.和解协议已履行完毕，法院应作执行结案处理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3.下列案件中，属于中级人民法院管辖的案件是(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A.简单民事案件   B.重大涉外案件   C.宣告失踪案件   D.公示催告案件</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4.下列有关管辖权异议的表述，错误的是(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A.当事人对一审案件的地域管辖和级别管辖均可提出异议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B.通常情况当事人只能在提交答辩状期间提出管辖权异议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C.异议成立的，法院应当裁定将案件移送有管辖权的法院</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D.当事人对生效的管辖权异议裁定，有权向本院申请复议</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5.本证与反证的划分标准是(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A.证据与证明责任的关系</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 xml:space="preserve">         B.证据的内容和含义</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C.证据的来源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 xml:space="preserve">                 D.证据与证明对象之间的关系</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6.诉前财产保全申请人的起诉期间是(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A.10日          B.15日          C.30日          D.60日</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7.下列法律文书中不适用留置送达方式的是(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A.离婚纠纷的调解书                 B.财产保全的裁定书</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C.侵权纠纷的判决书                 D.先予执行的裁定书</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8.被告在答辩期内不答辩的，(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A.无权再次进行答辩                 B.不影响法院对案件的审理</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C.一律拘传被告到庭                 D.视为被告不能举证</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9.民事诉讼法是(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A.私法            B.根本法         C.程序法          D.社会法</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10.根据法律规定，下列选项中完整地表达处分原则含义的是(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A.当事人可以任意地处分自己的民事权利和诉讼权利</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B.当事人应在法律规定的范围内处分自己的诉讼权利</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C.当事人应在法律规定的范围内处分自己的民事权利</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D.当事人应在法定的范围内处分民事权利和诉讼权利</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二、多项选择题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1.2012年修改民事诉讼法时，新增的内容有(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A.小额诉讼       B.选民资格诉讼   C.公益诉讼       D.第三人撤销之诉</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2.当事人逾期提供证据的，(     )。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A.视为放弃举证权利</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B.法院责令当事人说明逾期不举证的理由</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C.当事人拒不说明理由的，法院可以不采纳该证据</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D.当事人说明理由不正当，法院也可以采纳该证据</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3.下列有关第三人的表述，正确的是(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A.无独立请求权第三人具有当事人的诉讼权利义务</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B.有独立请求权第三人以本诉的原告和被告为被告</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C.有独立请求权第三人和无独立请求权第三人均有权委托诉讼代理人</w:t>
      </w:r>
      <w:r>
        <w:rPr>
          <w:rFonts w:hint="eastAsia" w:ascii="宋体" w:hAnsi="宋体" w:eastAsia="宋体" w:cs="宋体"/>
          <w:b w:val="0"/>
          <w:bCs w:val="0"/>
          <w:sz w:val="24"/>
          <w:szCs w:val="24"/>
          <w:lang w:val="en-US" w:eastAsia="zh-CN"/>
        </w:rPr>
        <w:tab/>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D.有独立请求权第三人和无独立请求权第三人以起诉的方式参加诉讼</w:t>
      </w:r>
      <w:r>
        <w:rPr>
          <w:rFonts w:hint="eastAsia" w:ascii="宋体" w:hAnsi="宋体" w:eastAsia="宋体" w:cs="宋体"/>
          <w:b w:val="0"/>
          <w:bCs w:val="0"/>
          <w:sz w:val="24"/>
          <w:szCs w:val="24"/>
          <w:lang w:val="en-US" w:eastAsia="zh-CN"/>
        </w:rPr>
        <w:tab/>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4.当事人撤回上诉，获得二审法院的准许，(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A.上诉人不得再次提起上诉                B.一审法院的裁判发生法律效力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C.二审程序因当事人撤回上诉而终结        D.上诉期间未满的，上诉人仍然有权提起上诉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5.不得适用简易程序审理的案件包括(     )。</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A.发回重审的案件                        B.疑难复杂的案件</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C.适用公示催告程序的案件                D.起诉时被告下落不明的案件</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三、简述题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 二审法院对上诉案件的审理?</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2、我国再审程序存在的问题?</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3、民事诉讼中的管辖权异议?</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4、民事诉讼中的行为保全?</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四、论述题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1、论民事诉讼中的无独立请求权第三人。</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2、民事诉讼中的举证责任?</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五、案例分析题:(本题共1小题，每题20分，共计20分)</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2003 年3月，甲公司与乙公司合并成立丙公司。2001年12月，甲公司原法人代表李某持盖有原甲公司合同专用章的空白合同文书与丁公司签订一份重油买卖合同。合同约定，丁公司应当向甲公司供应10吨重油，供货后一周内，甲公司应当一次性付清全部货款。合同签订后，丁公司未按照合同约定的期限及时向甲公司提供重油，为此发生争议。</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请问:</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 甲公司能否以丁公司为被告向人民法院起诉，要求丁公司履行合同约定的供应重油的业务?为什么?</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2.丙公司能否以丁公司为被告向人民法院起诉，要求丁公司履行合同约定的供应重油的业务?为什么?</w:t>
      </w: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rPr>
          <w:rFonts w:hint="eastAsia" w:ascii="宋体" w:hAnsi="宋体" w:eastAsia="宋体" w:cs="宋体"/>
          <w:b w:val="0"/>
          <w:bCs w:val="0"/>
          <w:sz w:val="24"/>
          <w:szCs w:val="24"/>
          <w:lang w:val="en-US" w:eastAsia="zh-CN"/>
        </w:rPr>
      </w:pPr>
    </w:p>
    <w:p>
      <w:pPr>
        <w:numPr>
          <w:ilvl w:val="0"/>
          <w:numId w:val="1"/>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在本案诉讼中，哪些事实应作为证明对象?应由谁承担证明责任?</w:t>
      </w: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参考答案</w:t>
      </w:r>
    </w:p>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单项选择题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35"/>
        <w:gridCol w:w="673"/>
        <w:gridCol w:w="673"/>
        <w:gridCol w:w="673"/>
        <w:gridCol w:w="673"/>
        <w:gridCol w:w="673"/>
        <w:gridCol w:w="673"/>
        <w:gridCol w:w="673"/>
        <w:gridCol w:w="673"/>
        <w:gridCol w:w="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93" w:type="dxa"/>
            <w:shd w:val="clear" w:color="auto" w:fill="auto"/>
            <w:noWrap w:val="0"/>
            <w:vAlign w:val="center"/>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题  目</w:t>
            </w:r>
          </w:p>
        </w:tc>
        <w:tc>
          <w:tcPr>
            <w:tcW w:w="635"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1</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2</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3</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4</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5</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6</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7</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8</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9</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93" w:type="dxa"/>
            <w:shd w:val="clear" w:color="auto" w:fill="auto"/>
            <w:noWrap w:val="0"/>
            <w:vAlign w:val="center"/>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选  项</w:t>
            </w:r>
          </w:p>
        </w:tc>
        <w:tc>
          <w:tcPr>
            <w:tcW w:w="635"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C</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B</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A</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A</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C</w:t>
            </w:r>
          </w:p>
        </w:tc>
        <w:tc>
          <w:tcPr>
            <w:tcW w:w="67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 xml:space="preserve"> </w:t>
            </w:r>
          </w:p>
        </w:tc>
      </w:tr>
    </w:tbl>
    <w:p>
      <w:pPr>
        <w:widowControl w:val="0"/>
        <w:numPr>
          <w:ilvl w:val="0"/>
          <w:numId w:val="0"/>
        </w:numPr>
        <w:jc w:val="both"/>
        <w:rPr>
          <w:rFonts w:hint="default" w:ascii="宋体" w:hAnsi="宋体" w:eastAsia="宋体" w:cs="宋体"/>
          <w:b w:val="0"/>
          <w:bCs w:val="0"/>
          <w:sz w:val="24"/>
          <w:szCs w:val="24"/>
          <w:lang w:val="en-US" w:eastAsia="zh-CN"/>
        </w:rPr>
      </w:pPr>
    </w:p>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多项选择题</w:t>
      </w:r>
    </w:p>
    <w:tbl>
      <w:tblPr>
        <w:tblStyle w:val="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11"/>
        <w:gridCol w:w="1252"/>
        <w:gridCol w:w="1252"/>
        <w:gridCol w:w="1252"/>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93" w:type="dxa"/>
            <w:shd w:val="clear" w:color="auto" w:fill="auto"/>
            <w:noWrap w:val="0"/>
            <w:vAlign w:val="center"/>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题  号</w:t>
            </w:r>
          </w:p>
        </w:tc>
        <w:tc>
          <w:tcPr>
            <w:tcW w:w="1511"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1</w:t>
            </w:r>
          </w:p>
        </w:tc>
        <w:tc>
          <w:tcPr>
            <w:tcW w:w="1252"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2</w:t>
            </w:r>
          </w:p>
        </w:tc>
        <w:tc>
          <w:tcPr>
            <w:tcW w:w="1252"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3</w:t>
            </w:r>
          </w:p>
          <w:p>
            <w:pPr>
              <w:widowControl w:val="0"/>
              <w:numPr>
                <w:ilvl w:val="0"/>
                <w:numId w:val="0"/>
              </w:numPr>
              <w:jc w:val="both"/>
              <w:rPr>
                <w:rFonts w:hint="default" w:ascii="宋体" w:hAnsi="宋体" w:eastAsia="宋体" w:cs="宋体"/>
                <w:b w:val="0"/>
                <w:bCs w:val="0"/>
                <w:sz w:val="24"/>
                <w:szCs w:val="24"/>
                <w:lang w:val="en-US" w:eastAsia="zh-CN"/>
              </w:rPr>
            </w:pPr>
          </w:p>
        </w:tc>
        <w:tc>
          <w:tcPr>
            <w:tcW w:w="1252"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4</w:t>
            </w:r>
          </w:p>
        </w:tc>
        <w:tc>
          <w:tcPr>
            <w:tcW w:w="125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93" w:type="dxa"/>
            <w:shd w:val="clear" w:color="auto" w:fill="auto"/>
            <w:noWrap w:val="0"/>
            <w:vAlign w:val="center"/>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选  项</w:t>
            </w:r>
          </w:p>
        </w:tc>
        <w:tc>
          <w:tcPr>
            <w:tcW w:w="1511"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p>
        </w:tc>
        <w:tc>
          <w:tcPr>
            <w:tcW w:w="1252"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BCD</w:t>
            </w:r>
          </w:p>
        </w:tc>
        <w:tc>
          <w:tcPr>
            <w:tcW w:w="1252"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p>
        </w:tc>
        <w:tc>
          <w:tcPr>
            <w:tcW w:w="1252"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ABC</w:t>
            </w:r>
          </w:p>
        </w:tc>
        <w:tc>
          <w:tcPr>
            <w:tcW w:w="1253" w:type="dxa"/>
            <w:shd w:val="clear" w:color="auto" w:fill="auto"/>
            <w:noWrap w:val="0"/>
            <w:vAlign w:val="top"/>
          </w:tcPr>
          <w:p>
            <w:pPr>
              <w:widowControl w:val="0"/>
              <w:numPr>
                <w:ilvl w:val="0"/>
                <w:numId w:val="0"/>
              </w:numPr>
              <w:jc w:val="both"/>
              <w:rPr>
                <w:rFonts w:hint="default" w:ascii="宋体" w:hAnsi="宋体" w:eastAsia="宋体" w:cs="宋体"/>
                <w:b w:val="0"/>
                <w:bCs w:val="0"/>
                <w:sz w:val="24"/>
                <w:szCs w:val="24"/>
                <w:lang w:val="en-US" w:eastAsia="zh-CN"/>
              </w:rPr>
            </w:pPr>
          </w:p>
        </w:tc>
      </w:tr>
    </w:tbl>
    <w:p>
      <w:pPr>
        <w:widowControl w:val="0"/>
        <w:numPr>
          <w:ilvl w:val="0"/>
          <w:numId w:val="0"/>
        </w:numPr>
        <w:jc w:val="both"/>
        <w:rPr>
          <w:rFonts w:hint="default" w:ascii="宋体" w:hAnsi="宋体" w:eastAsia="宋体" w:cs="宋体"/>
          <w:b w:val="0"/>
          <w:bCs w:val="0"/>
          <w:sz w:val="24"/>
          <w:szCs w:val="24"/>
          <w:lang w:val="en-US" w:eastAsia="zh-CN"/>
        </w:rPr>
      </w:pPr>
    </w:p>
    <w:p>
      <w:pPr>
        <w:widowControl w:val="0"/>
        <w:numPr>
          <w:ilvl w:val="0"/>
          <w:numId w:val="0"/>
        </w:numPr>
        <w:jc w:val="both"/>
        <w:rPr>
          <w:rFonts w:hint="default" w:ascii="宋体" w:hAnsi="宋体" w:eastAsia="宋体" w:cs="宋体"/>
          <w:b w:val="0"/>
          <w:bCs w:val="0"/>
          <w:sz w:val="24"/>
          <w:szCs w:val="24"/>
          <w:lang w:val="en-US" w:eastAsia="zh-CN"/>
        </w:rPr>
      </w:pPr>
      <w:r>
        <w:rPr>
          <w:rFonts w:hint="default" w:ascii="宋体" w:hAnsi="宋体" w:eastAsia="宋体" w:cs="宋体"/>
          <w:b w:val="0"/>
          <w:bCs w:val="0"/>
          <w:sz w:val="24"/>
          <w:szCs w:val="24"/>
          <w:lang w:val="en-US" w:eastAsia="zh-CN"/>
        </w:rPr>
        <w:t>简述题</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1、二审法院对上诉案件的审理?</w:t>
      </w:r>
      <w:bookmarkStart w:id="0" w:name="_GoBack"/>
      <w:bookmarkEnd w:id="0"/>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略</w:t>
      </w:r>
    </w:p>
    <w:p>
      <w:p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2、我国再审程序存在的问题?</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略</w:t>
      </w:r>
    </w:p>
    <w:p>
      <w:pPr>
        <w:numPr>
          <w:ilvl w:val="0"/>
          <w:numId w:val="2"/>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民事诉讼中的管辖权异议?</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答:所谓管辖权异议，是指人民法院受理案件后，当事人认为受诉人民法院对该案并无管辖权，而向受诉人民法院提出的不服该法院管辖的意见或主张。</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1、管辖异议权的主体</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我国《民事诉讼法》第三十八条规定，提出管辖权异议的主体必须是本案的当事人。这里的“当事人”仅限于本诉中的被告，不包括原告和第三人。</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2、管辖异议权的客体</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所谓管辖权异议的客体，即管辖异议权的对象，是指异议权人对哪些种类的一审民事诉讼管辖可以主张管辖权异议。一审民事诉讼管辖包括法定管辖和裁定管辖。一审民事诉讼的法定管辖包括地域管辖和级别管辖。裁定管辖主要包括移送管辖、指定管辖和转移管辖。</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3、提起管辖权异议的时间</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我国《民事诉讼法》第 113 条的规定:“被告应在收到起诉状副本之日起 15 日内提出答辩状。”那么当事人对管辖权提出异议的期限就应当是接到起诉状副本后的 15 日内。</w:t>
      </w:r>
    </w:p>
    <w:p>
      <w:pPr>
        <w:numPr>
          <w:ilvl w:val="0"/>
          <w:numId w:val="2"/>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管辖权异议的处理依据民事诉讼法第 38 条，当事人提出管辖权异议后，法院应当进行审查，异议成立的，裁定移送至有管辖权的法院，异议不成立的，裁定驳回。</w:t>
      </w:r>
    </w:p>
    <w:p>
      <w:pPr>
        <w:numPr>
          <w:ilvl w:val="0"/>
          <w:numId w:val="0"/>
        </w:numPr>
        <w:ind w:leftChars="0"/>
        <w:rPr>
          <w:rFonts w:hint="eastAsia" w:ascii="宋体" w:hAnsi="宋体" w:eastAsia="宋体" w:cs="宋体"/>
          <w:b w:val="0"/>
          <w:bCs w:val="0"/>
          <w:sz w:val="24"/>
          <w:szCs w:val="24"/>
          <w:lang w:val="en-US" w:eastAsia="zh-CN"/>
        </w:rPr>
      </w:pP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4、民事诉讼中的行为保全?</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行为保全是我国民事诉讼理论中一个独有的术语,我国民事诉讼法并没有明确的规定。我国《民事诉讼法》在第九章规定的“财产保全”制度和“先予执行”制度,已经不能满足现实生活的需要。行为保全是一项与财产保全一样重要的民事领域的保全制度,它能够在法院裁判生效之前有效地保护权利人的合法权益,使其免于遭受难以挽回的损失。国外发达国家一般都规定了有关行为保全制度,并且比较全面和完善。由于历史文化、法律传统的不同,对行为保全制度的表述各不相英美法系国家把它称为“中间禁令”,而大陆法系国家如德国、日本把它称为“假处分”,法国把它称为“紧急裁决”。它们尽管形式不同,却异曲同工,在社会中发挥着重要的作用,共同维护着西方的法治文明。</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近年来,我国的海事强制令制度和诉前临时禁今制度在行为保全领域作了有益的学试分别在海事领域和知识产权领域中发挥着重要作用。但应该清楚的认识到.我国还没有建立一套完整意义上的行为保全制度。我们应当大胆借鉴西方法治发达国家成功的立法和司法经验,构建一套符合我国国情的、科学而实用的行为保全制度。</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论述题</w:t>
      </w:r>
    </w:p>
    <w:p>
      <w:pPr>
        <w:widowControl w:val="0"/>
        <w:numPr>
          <w:ilvl w:val="0"/>
          <w:numId w:val="3"/>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论民事诉讼中的无独立请求权第三人。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答:(一)无独立请求权第三人的概念与特征</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无独立请求权第三人,是指对原告、被告之间的诉讼标的，虽然不能主张独立的请求权，</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但与其案件的处理结果有法律上的利害关系而参加到诉讼中去的诉讼参加人。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1)无独立请求权的第三人具有以下特征:</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2)与案件处理结果有法律上的利害关系。</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3)所参加的诉讼正在进行。</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4)自己申请参加诉讼或由人民法院通知其参加诉讼。</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(二)无独立请求权第三人在诉讼中的地位</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无独立请求权第三人不是完全独立的诉讼当事人，不具有与当事人相同的诉讼地位。这</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是因为在诉讼中，无独立请求权第三人并没有向原告和被告提出独立的诉讼请求，而是辅助</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本诉的一方当事人对抗另一方当事人。无独立请求权第三人参加诉讼的目的，是为了维护自</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己的合法权益，避免法院对他人作出的判决对自己不利。因此无独立请求权第三人在诉讼中</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无权承认、放弃、变更诉讼请求，无权请求和解和申请执行。</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但无独立请求权第一人是广义上的当事人，仍然有自己的诉讼地位，主要表现在以下</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几个方面:(1)无独立请求权第三人可以自己名义参加诉讼，有权选择辅助的一方;(2)</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无独立请求权第三人可以独立地行使诉讼权利，承担诉讼义务，不受他人制约;(3)在一</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审判决中，无独立请求权第三人承担实体义务的，享有上诉权:(4)本诉的原告和被告之</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间的调解涉及无独立请求权第三人承担实体义务时，应有该无独立请求权第三人参加。</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(三)无独立请求权第三人参加诉讼的条件</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 与案件处理结果有法律上的利害关系。无独立请求权第三人参加诉讼的根据，不是对本案原告和被告争议的诉讼标的有独立的请求权,而是与他人之间争议案件处理结果有法律上的利害关系。这种利害关系是由无独立请求权第三人与原告和被告在实体法上的牵连决定的。正是这种利害关系,使法院对原告和被告之间争议的处理涉及无独立请求权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所谓法律上的利害关系,是指无独立请求权第三人的权利义务将受原告和被告间诉讼结果的影响，从而使权利义务有所增加或减少。无独立请求权第三人与案件处理结果具有法律上的利害关系，包括义务性关系、权利性关系、权利义务性关系三种，其中以义务性利害关系最为常见。</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2.所参加的诉讼正在进行。时间是从被告应诉起，到诉讼审理终结止。一般也是第一</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审程序中参加。这一点与有独立请求权第三人参加诉讼相同。</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3.自己申请参加诉讼或由法院通知其参加诉讼。无独立请求权第三人参加诉讼的方式有一两种，即自己申请参加诉讼和由人民法院通知其参加诉讼。</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(四)应作为无独立请求权第三人参加诉讼的几种情形</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针对司法实践中存在着某些利害关系人是否可以作为第三人的疑问，最高人民法院专门作出了司法解释。根据 2001 年4月 16 日最高人民法院颁布的《关于审理劳动争议案件适用法律若干问题的解释》，下列人员应作为第三人参加诉讼:</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1.用人单位招用尚未解除劳动合同的劳动者，原用人单位与劳动者发生的劳动争议，可以列新的用人单位为第三人。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2.原用人单位以新的用人单位侵权为由向人民法院起诉的，可以列劳动者为第三人。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根据最高人民法院《合同法解释(一)》的规定，下列人员应作为第三人参加诉讼</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1.债权人以次债务人为被告向人民法院提起代位权诉讼，未将债务人列为第三人的，人民法院可以追加债务人为第三人。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2.债权人依照合同法有关撤销权的规定提起撤销权诉讼时只以债务人为被告，未将受益人或者受让人列为第三人的，人民法院可以追加该受益人或者受让人为第三人。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3.债权人转让合同权利后，债务人与受让人之间因履行合同发生纠纷诉至人民法院，债务人对债权人的权利提出抗辩的，可以将债权人列为第三人。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4.经债权人同意，债务人转移合同义务后，受让人与债权人之间因履行合同发生纠纷诉至人民法院，受让人就债务人对债权人的权利提出抗辩的，可以将债务人列为第三人。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5.合同当事人一方经对方同意将其在合同中的权利义务一并转让给受让人，对方与受让人因履行合同发生纠纷诉至人民法院，对方就合同权利义务提出抗辩的，可以将出让方列为第三人。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(五)不得作为第三人通知其参加诉讼的几种情形</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1.与原被告双方争议的诉讼标的无直接牵连和不负有返还或者赔偿等义务的人。</w:t>
      </w:r>
    </w:p>
    <w:p>
      <w:pPr>
        <w:widowControl w:val="0"/>
        <w:numPr>
          <w:ilvl w:val="0"/>
          <w:numId w:val="0"/>
        </w:numPr>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2.略</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产品质量纠纷案件中，对原被告之间法律关系以外的下列人员:(1)证据证明其已经提供了合同约定或者符合法律规定的产品的人;(2)案件中的当事人未在规定的质量异议期内向其提出异议的人;(3)案件中的收货方已经认可其提供产品质量的人。</w:t>
      </w:r>
    </w:p>
    <w:p>
      <w:pPr>
        <w:widowControl w:val="0"/>
        <w:numPr>
          <w:ilvl w:val="0"/>
          <w:numId w:val="0"/>
        </w:numPr>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已经履行了义务，或者依法取得了一方当事人的财产，并支付了相应对价的原被告之间法律关系以外的人。此外，根据最高人民法院的批复，在工商行政管理部门进行鉴证、商检局对商品质量进行检验的合同中，如果当事人以合同纠纷提起诉讼，并以工商行政管理部门、商检局有过错应本担民事责任为由，要求将它们列为第三人的,法院不宜将工商局、商检局列为第三人。</w:t>
      </w:r>
    </w:p>
    <w:p>
      <w:pPr>
        <w:widowControl w:val="0"/>
        <w:numPr>
          <w:ilvl w:val="0"/>
          <w:numId w:val="3"/>
        </w:numPr>
        <w:ind w:left="0" w:leftChars="0" w:firstLine="0" w:firstLine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民事诉讼中的举证责任?</w:t>
      </w:r>
    </w:p>
    <w:p>
      <w:pPr>
        <w:widowControl w:val="0"/>
        <w:numPr>
          <w:ilvl w:val="0"/>
          <w:numId w:val="0"/>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答:民事诉讼离不开证据，证据制度是民事诉讼制度的核心，而举证责任是证据制度的重要组成部分。举证责任是民事诉讼中的核心问题，一日明确这一问题，就可以分清诉讼中的双方当事人就同一事实不同主张或由谁来负责举证的问题。</w:t>
      </w:r>
    </w:p>
    <w:p>
      <w:pPr>
        <w:widowControl w:val="0"/>
        <w:numPr>
          <w:ilvl w:val="0"/>
          <w:numId w:val="0"/>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一、举证责任的概念和内容</w:t>
      </w:r>
    </w:p>
    <w:p>
      <w:pPr>
        <w:widowControl w:val="0"/>
        <w:numPr>
          <w:ilvl w:val="0"/>
          <w:numId w:val="0"/>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(一)由谁提供证据，即举证的行为责任，亦称主观的举证责任</w:t>
      </w:r>
    </w:p>
    <w:p>
      <w:pPr>
        <w:widowControl w:val="0"/>
        <w:numPr>
          <w:ilvl w:val="0"/>
          <w:numId w:val="0"/>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民事诉讼法第六十四条规定:“当事人对自己提出的主张，有责任提供证据，”一般来说，原告应当证明他提出的诉讼请求所根据的事实。举证的行为责任是一种主观责任，当事人双方均应承担，如果一方当事人举不出证据证明自己的主张，而对方当事人能够举岀证据证明其主张时，当然要由举不出证据的一方当事人承担不利后果。</w:t>
      </w:r>
    </w:p>
    <w:p>
      <w:pPr>
        <w:widowControl w:val="0"/>
        <w:numPr>
          <w:ilvl w:val="0"/>
          <w:numId w:val="0"/>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双方当事人均提不出证据的后果由谁承担，即举证的后果责任，亦称客观的举证责任。举证的后果责任是举证责任的核心，也是举证的责任发挥作用的关键所在，历来为理论界和司法界所重视。在民事诉讼中，一般由原告承担这种举证的后果责任:在特殊情况下，由于证明对象的特殊与复杂，法律规定或者最高人民法院司法解释确定由被告负举证责任的，则被告承担不利后果。</w:t>
      </w:r>
    </w:p>
    <w:p>
      <w:pPr>
        <w:widowControl w:val="0"/>
        <w:numPr>
          <w:ilvl w:val="0"/>
          <w:numId w:val="0"/>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但在下列侵权诉讼中，对原告提出的侵权事实，被告否认的，由被告负责举证: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 因产品制造方法发明专利引起的专利侵权诉讼:</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 高度危险作业致人损害的侵权诉讼:</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 因环境污染引起的损害赔偿诉讼:</w:t>
      </w:r>
    </w:p>
    <w:p>
      <w:pPr>
        <w:numPr>
          <w:ilvl w:val="0"/>
          <w:numId w:val="0"/>
        </w:numPr>
        <w:ind w:leftChars="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 略</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 饲养动物致人损害的侵权诉讼:</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 有关法律规定由被告承担责任的诉讼:</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二、举证责任的性质</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事物的性质就是指一事物区别于另一事物的根本属性,进一步说就是指该事物以何种方式区别于其它事物而存在。举证责任与其它事物一样有其特有的属性，在学理界对此研究的学说颇多，有权利说、义务说、败诉风险说、负担说等等。而笔者认为，举证责任首先是一</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法律上的责任,即法律责任,其次它是因未能履行法定的举证义务而须承担的一种法律责任。</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完整表述为:当事人因未能履行法定的提出证据之义务须承担的一种法律上的不利后果。</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关于民事举证责任的法律性质，我国学者意见分歧很大，主要有以下几种观点:</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权利说。持权利说者认为举证责任是当事人在诉讼中享有的一项权利。当事人在诉讼中为维护自己的合法权益，就有必要提供证据以证明其主张，应享有举证的权利。再者，当事人对诉讼标的有处分权，这里当然也包含了举证的权利。</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义务说。持此说者认为，举证责任是伴随诉讼中的事实而生的义务。当事人有提出诉讼主张的权利，同时相应地负有举证的义务，当事人不尽举证责任(义务)就要承担不利的诉讼后果。败诉风险说。该说者认为，举证责任是一种特殊的法律责任，是当事人在民事诉讼中承担的败诉风险责任,是当事人未能举证或举证不充分时以及案件事实客观上难以查明时引起的法律责任。</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负担说。持此说者认为，举证责任对于诉讼当事人来说，既非权利亦非义务，而是当事人为了使法院作出对其有利的裁判，不得不承担的一种责任。若从反面观之，则是当事人为避免败诉危险而不得不负担的责任。</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综上所述，举证责任性质可归纳表述为:举证责任是一法律责任，是当事人未能履行举证义务而引发的法律上的不利后果。</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三、举证责任分配</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举证责任的分配，是指按照一定的标准，将不同法律要件事实的举证责任，在双方当事人之间预先进行分配，使原告对其中的一部分事实负举证责任。被告对一部分事实角举证责任。从广义上讲，举证责任的分配既包括立法者在立法时对举证责任的分配，也包括法官在审理案件时根据案件的具体情况在当事人之间进行的举证责任分配。</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(一)国外关于举证责任分配的主要学说</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是法规分类说。该说着眼于实体法条文，从对实体法条文的分析中归纳出分配举证责任的原则。该说认为实体法条文中通常都有原则与例外规定，凡要求适用原则规定的人，仅应就原则规定要件事实的存在负举证责任，无须证明例外规定要件事实的不存在，例外规定要件事实由对方当事人主张并负举证责任。</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三是法律要件分类说。该说是依据实体法规定的法律要件事实的不同类别分担举证责任。该说着眼于事实与实体法的关系，以事实在实体法上引起的不同效果作为分担举证责任的标准。</w:t>
      </w:r>
    </w:p>
    <w:p>
      <w:pPr>
        <w:numPr>
          <w:ilvl w:val="0"/>
          <w:numId w:val="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我国现行民事诉讼中举证责任分配的原则</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谁主张,谁举证”的原则。这是我国民事诉讼中举证责任分配的一般原则。我国《民事诉讼法》第六十四条第一款规定:“当事人对自己提出的主张，有责任提供证据。”理论界根据该款规定,将举证责任的分配界说为“谁主张,谁举证”,即原告对自己提出的主张。有责任举证证明:被告对自己提出的主张，有责任举证证明:第三人对自己提出的主张，也有责任举证证明。</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法院分担当事人的举证责任。我国《民事诉讼法》第六十四条第二款规定:当事人及其诉讼代理人因客观原因不能自行收集的证据，或者人民法院认为审理案件需要的证据，人民法院应调查收集。人民法院在特定情况下可以调查收集证据，这在一定程度上等于分担了当事人的举证责任。《最高人民法院关于民事诉讼证据的若干规定》第十五条、十七条对人民法院调查收集证据的范围作出了规定。</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法官自由裁量分配举证责任。对个别案情比较复杂，举证责任不明的案件，人民法院的法官遵循法律的基本精神与司法正义的理念,并且根据司法经验与理性逻辑来对这些特殊的个案自由裁量分配举证责任。这是对法定的举证责任分配规则的一种例外和必要的补充。《最高人民法院关于民事诉讼证据的若干规定》第七条规定:在法律没有具体规定，依本规定及其他司法解释无法确定举证责任承担时，人民法院可以根据公平原则和诚实信用原则。</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综合当事人的举证能力等因素确定举证责任的承担。</w:t>
      </w:r>
    </w:p>
    <w:p>
      <w:pPr>
        <w:numPr>
          <w:ilvl w:val="0"/>
          <w:numId w:val="4"/>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案例分析题:</w:t>
      </w:r>
    </w:p>
    <w:p>
      <w:pPr>
        <w:numPr>
          <w:ilvl w:val="0"/>
          <w:numId w:val="0"/>
        </w:numPr>
        <w:rPr>
          <w:rFonts w:hint="default"/>
          <w:b/>
          <w:bCs/>
          <w:sz w:val="28"/>
          <w:szCs w:val="28"/>
          <w:lang w:val="en-US" w:eastAsia="zh-CN"/>
        </w:rPr>
      </w:pPr>
      <w:r>
        <w:rPr>
          <w:rFonts w:hint="eastAsia" w:ascii="宋体" w:hAnsi="宋体" w:eastAsia="宋体" w:cs="宋体"/>
          <w:b w:val="0"/>
          <w:bCs w:val="0"/>
          <w:sz w:val="24"/>
          <w:szCs w:val="24"/>
          <w:lang w:val="en-US" w:eastAsia="zh-CN"/>
        </w:rPr>
        <w:t>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83EF27"/>
    <w:multiLevelType w:val="singleLevel"/>
    <w:tmpl w:val="9F83EF27"/>
    <w:lvl w:ilvl="0" w:tentative="0">
      <w:start w:val="3"/>
      <w:numFmt w:val="decimal"/>
      <w:suff w:val="nothing"/>
      <w:lvlText w:val="%1、"/>
      <w:lvlJc w:val="left"/>
    </w:lvl>
  </w:abstractNum>
  <w:abstractNum w:abstractNumId="1">
    <w:nsid w:val="EFA98F04"/>
    <w:multiLevelType w:val="singleLevel"/>
    <w:tmpl w:val="EFA98F04"/>
    <w:lvl w:ilvl="0" w:tentative="0">
      <w:start w:val="1"/>
      <w:numFmt w:val="decimal"/>
      <w:suff w:val="nothing"/>
      <w:lvlText w:val="%1、"/>
      <w:lvlJc w:val="left"/>
    </w:lvl>
  </w:abstractNum>
  <w:abstractNum w:abstractNumId="2">
    <w:nsid w:val="1F796F58"/>
    <w:multiLevelType w:val="singleLevel"/>
    <w:tmpl w:val="1F796F58"/>
    <w:lvl w:ilvl="0" w:tentative="0">
      <w:start w:val="3"/>
      <w:numFmt w:val="decimal"/>
      <w:lvlText w:val="%1."/>
      <w:lvlJc w:val="left"/>
      <w:pPr>
        <w:tabs>
          <w:tab w:val="left" w:pos="312"/>
        </w:tabs>
      </w:pPr>
    </w:lvl>
  </w:abstractNum>
  <w:abstractNum w:abstractNumId="3">
    <w:nsid w:val="2E582AA5"/>
    <w:multiLevelType w:val="singleLevel"/>
    <w:tmpl w:val="2E582AA5"/>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63E37808"/>
    <w:rsid w:val="1FF81578"/>
    <w:rsid w:val="2BA656C3"/>
    <w:rsid w:val="32904129"/>
    <w:rsid w:val="42E76C13"/>
    <w:rsid w:val="63E37808"/>
    <w:rsid w:val="69403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6752</Words>
  <Characters>6919</Characters>
  <Lines>0</Lines>
  <Paragraphs>0</Paragraphs>
  <TotalTime>4</TotalTime>
  <ScaleCrop>false</ScaleCrop>
  <LinksUpToDate>false</LinksUpToDate>
  <CharactersWithSpaces>7320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2022-11-28T13:47:00Z</dcterms:created>
  <dc:creator>不甜</dc:creator>
  <cp:lastModifiedBy>Administrator</cp:lastModifiedBy>
  <dcterms:modified xsi:type="dcterms:W3CDTF">2022-12-06T02:57:20Z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EFD3EADD253341F78E56B39E7DE79D92</vt:lpwstr>
  </property>
</Properties>
</file>