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lang w:val="en-US" w:eastAsia="zh-CN"/>
        </w:rPr>
      </w:pPr>
      <w:r>
        <w:rPr>
          <w:rFonts w:hint="eastAsia"/>
          <w:b/>
          <w:bCs/>
          <w:sz w:val="28"/>
          <w:szCs w:val="28"/>
          <w:lang w:val="en-US" w:eastAsia="zh-CN"/>
        </w:rPr>
        <w:t>民事诉讼法复习资料</w:t>
      </w:r>
    </w:p>
    <w:p>
      <w:pPr>
        <w:numPr>
          <w:ilvl w:val="0"/>
          <w:numId w:val="1"/>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单项选择题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1.二审法院发现一审判决的事实认定存在错误，应当(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A.撤销原判，发回重审                 B.指示一审法院予以改判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C.依法改判                           D.撤销原判，发回重审或查清事实后改判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2.在执行程序中，双方当事人自愿达成和解协议，和解协议履行完毕后，一方当事人提出恢复执行程序。下列哪一选项是正确的？(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A.和解协议无效，应恢复执行原判决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B.和解协议已履行完毕，应执行回转</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C.和解协议有效，当事人反悔应恢复执行原判决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D.和解协议已履行完毕，法院应作执行结案处理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3.下列案件中，属于中级人民法院管辖的案件是(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A.简单民事案件       B.重大涉外案件       C.宣告失踪案件        D.公示催告案件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4.下列有关管辖权异议的表述，错误的是(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A.当事人对一审案件的地域管辖和级别管辖均可提出异议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B.通常情况当事人只能在提交答辩状期间提出管辖权异议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C.异议成立的，法院应当裁定将案件移送有管辖权的法院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D.当事人对生效的管辖权异议裁定，有权向本院申请复议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5.本证与反证的划分标准是(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A.证据与证明责任的关系</w:t>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         B.证据的内容和含义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C.证据的来源</w:t>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                 D.证据与证明对象之间的关系</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二、多项选择题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1.2012年修改民事诉讼法时，新增的内容有(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A.小额诉讼       B.选民资格诉讼     C.公益诉讼       D.第三人撤销之诉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2.当事人逾期提供证据的，(     )。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A.视为放弃举证权利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B.法院责令当事人说明逾期不举证的理由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C.当事人拒不说明理由的，法院可以不采纳该证据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D.当事人说明理由不正当，法院也可以采纳该证据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3.下列有关第三人的表述，正确的是(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A.无独立请求权第三人具有当事人的诉讼权利义务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B.有独立请求权第三人以本诉的原告和被告为被告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C.有独立请求权第三人和无独立请求权第三人均有权委托诉讼代理人</w:t>
      </w:r>
      <w:r>
        <w:rPr>
          <w:rFonts w:hint="eastAsia" w:ascii="宋体" w:hAnsi="宋体" w:eastAsia="宋体" w:cs="宋体"/>
          <w:szCs w:val="21"/>
          <w:lang w:val="en-US" w:eastAsia="zh-CN"/>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D.有独立请求权第三人和无独立请求权第三人以起诉的方式参加诉讼</w:t>
      </w:r>
      <w:r>
        <w:rPr>
          <w:rFonts w:hint="eastAsia" w:ascii="宋体" w:hAnsi="宋体" w:eastAsia="宋体" w:cs="宋体"/>
          <w:szCs w:val="21"/>
          <w:lang w:val="en-US" w:eastAsia="zh-CN"/>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4.当事人撤回上诉，获得二审法院的准许(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A.上诉人不得再次提起上诉                B.一审法院的裁判发生法律效力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C.二审程序因当事人撤回上诉而终结        D.上诉期间未满的，上诉人仍然有权提起上诉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5.不得适用简易程序审理的案件包括(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A.发回重审的案件                        B.疑难复杂的案件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C.适用公示催告程序的案件                D.起诉时被告下落不明的案件</w:t>
      </w: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三、简述题: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 二审法院对上诉案件的审理?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2、我国再审程序存在的问题?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3、民事诉讼中的管辖权异议?</w:t>
      </w:r>
    </w:p>
    <w:p>
      <w:pPr>
        <w:widowControl w:val="0"/>
        <w:numPr>
          <w:ilvl w:val="0"/>
          <w:numId w:val="0"/>
        </w:numPr>
        <w:jc w:val="both"/>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四、论述题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1、论民事诉讼中的无独立请求权第三人。</w:t>
      </w:r>
    </w:p>
    <w:p>
      <w:pPr>
        <w:widowControl w:val="0"/>
        <w:numPr>
          <w:ilvl w:val="0"/>
          <w:numId w:val="0"/>
        </w:numPr>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五、案例分析题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2003 年3月，甲公司与乙公司合并成立丙公司。2001年12月，甲公司原法人代表李某持盖有原甲公司合同专用章的空白合同文书与丁公司签订一份重油买卖合同。合同约定，丁公司应当向甲公司供应10吨重油，供货后一周内，甲公司应当一次性付清全部货款。合同签订后，丁公司未按照合同约定的期限及时向甲公司提供重油，为此发生争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请问: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 甲公司能否以丁公司为被告向人民法院起诉，要求丁公司履行合同约定的供应重油的业务?为什么?</w:t>
      </w:r>
      <w:r>
        <w:rPr>
          <w:rFonts w:hint="eastAsia" w:ascii="宋体" w:hAnsi="宋体" w:eastAsia="宋体" w:cs="宋体"/>
          <w:szCs w:val="21"/>
          <w:lang w:val="en-US" w:eastAsia="zh-CN"/>
        </w:rPr>
        <w:br w:type="textWrapping"/>
      </w:r>
      <w:r>
        <w:rPr>
          <w:rFonts w:hint="eastAsia" w:ascii="宋体" w:hAnsi="宋体" w:eastAsia="宋体" w:cs="宋体"/>
          <w:szCs w:val="21"/>
          <w:lang w:val="en-US" w:eastAsia="zh-CN"/>
        </w:rPr>
        <w:t>2.丙公司能否以丁公司为被告向人民法院起诉，要求丁公司履行合同约定的供应重油的业务?为什么?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3.在本案诉讼中，哪些事实应作为证明对象?应由谁承担证明责任?</w:t>
      </w:r>
      <w:bookmarkStart w:id="0" w:name="_GoBack"/>
      <w:bookmarkEnd w:id="0"/>
    </w:p>
    <w:p>
      <w:pPr>
        <w:rPr>
          <w:rFonts w:hint="default"/>
          <w:b w:val="0"/>
          <w:bCs w:val="0"/>
          <w:sz w:val="24"/>
          <w:szCs w:val="24"/>
          <w:lang w:val="en-US" w:eastAsia="zh-CN"/>
        </w:rPr>
      </w:pPr>
      <w:r>
        <w:rPr>
          <w:rFonts w:hint="default"/>
          <w:b w:val="0"/>
          <w:bCs w:val="0"/>
          <w:sz w:val="24"/>
          <w:szCs w:val="24"/>
          <w:lang w:val="en-US" w:eastAsia="zh-CN"/>
        </w:rPr>
        <w:br w:type="page"/>
      </w:r>
    </w:p>
    <w:p>
      <w:pPr>
        <w:jc w:val="center"/>
        <w:rPr>
          <w:rFonts w:hint="eastAsia"/>
          <w:b/>
          <w:bCs/>
          <w:sz w:val="28"/>
          <w:szCs w:val="28"/>
          <w:lang w:val="en-US" w:eastAsia="zh-CN"/>
        </w:rPr>
      </w:pPr>
      <w:r>
        <w:rPr>
          <w:rFonts w:hint="eastAsia"/>
          <w:b/>
          <w:bCs/>
          <w:sz w:val="28"/>
          <w:szCs w:val="28"/>
          <w:lang w:val="en-US" w:eastAsia="zh-CN"/>
        </w:rPr>
        <w:t>民事诉讼法参考答案</w:t>
      </w: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单项选择题</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635"/>
        <w:gridCol w:w="673"/>
        <w:gridCol w:w="673"/>
        <w:gridCol w:w="673"/>
        <w:gridCol w:w="673"/>
        <w:gridCol w:w="673"/>
        <w:gridCol w:w="673"/>
        <w:gridCol w:w="673"/>
        <w:gridCol w:w="673"/>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93" w:type="dxa"/>
            <w:shd w:val="clear" w:color="auto" w:fill="auto"/>
            <w:noWrap w:val="0"/>
            <w:vAlign w:val="center"/>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题  目</w:t>
            </w:r>
          </w:p>
        </w:tc>
        <w:tc>
          <w:tcPr>
            <w:tcW w:w="635"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93" w:type="dxa"/>
            <w:shd w:val="clear" w:color="auto" w:fill="auto"/>
            <w:noWrap w:val="0"/>
            <w:vAlign w:val="center"/>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选  项</w:t>
            </w:r>
          </w:p>
        </w:tc>
        <w:tc>
          <w:tcPr>
            <w:tcW w:w="635"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C</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D</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B</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D</w:t>
            </w:r>
          </w:p>
        </w:tc>
        <w:tc>
          <w:tcPr>
            <w:tcW w:w="67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A</w:t>
            </w: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c>
          <w:tcPr>
            <w:tcW w:w="673" w:type="dxa"/>
            <w:shd w:val="clear" w:color="auto" w:fill="auto"/>
            <w:noWrap w:val="0"/>
            <w:vAlign w:val="top"/>
          </w:tcPr>
          <w:p>
            <w:pPr>
              <w:rPr>
                <w:rFonts w:hint="eastAsia" w:ascii="宋体" w:hAnsi="宋体" w:eastAsia="宋体" w:cs="宋体"/>
                <w:b/>
                <w:bCs/>
                <w:sz w:val="24"/>
                <w:szCs w:val="24"/>
                <w:lang w:val="en-US" w:eastAsia="zh-CN"/>
              </w:rPr>
            </w:pPr>
          </w:p>
        </w:tc>
      </w:tr>
    </w:tbl>
    <w:p>
      <w:pPr>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多项选择题</w:t>
      </w:r>
    </w:p>
    <w:tbl>
      <w:tblPr>
        <w:tblStyle w:val="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511"/>
        <w:gridCol w:w="1252"/>
        <w:gridCol w:w="1252"/>
        <w:gridCol w:w="1252"/>
        <w:gridCol w:w="1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93" w:type="dxa"/>
            <w:shd w:val="clear" w:color="auto" w:fill="auto"/>
            <w:noWrap w:val="0"/>
            <w:vAlign w:val="center"/>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题  号</w:t>
            </w:r>
          </w:p>
        </w:tc>
        <w:tc>
          <w:tcPr>
            <w:tcW w:w="1511"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w:t>
            </w: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w:t>
            </w:r>
          </w:p>
          <w:p>
            <w:pPr>
              <w:rPr>
                <w:rFonts w:hint="eastAsia" w:ascii="宋体" w:hAnsi="宋体" w:eastAsia="宋体" w:cs="宋体"/>
                <w:b/>
                <w:bCs/>
                <w:sz w:val="24"/>
                <w:szCs w:val="24"/>
                <w:lang w:val="en-US" w:eastAsia="zh-CN"/>
              </w:rPr>
            </w:pP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p>
        </w:tc>
        <w:tc>
          <w:tcPr>
            <w:tcW w:w="125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93" w:type="dxa"/>
            <w:shd w:val="clear" w:color="auto" w:fill="auto"/>
            <w:noWrap w:val="0"/>
            <w:vAlign w:val="center"/>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选  项</w:t>
            </w:r>
          </w:p>
        </w:tc>
        <w:tc>
          <w:tcPr>
            <w:tcW w:w="1511"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ACD</w:t>
            </w: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BCD</w:t>
            </w: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BC</w:t>
            </w:r>
          </w:p>
        </w:tc>
        <w:tc>
          <w:tcPr>
            <w:tcW w:w="1252"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ABC</w:t>
            </w:r>
          </w:p>
        </w:tc>
        <w:tc>
          <w:tcPr>
            <w:tcW w:w="1253" w:type="dxa"/>
            <w:shd w:val="clear" w:color="auto" w:fill="auto"/>
            <w:noWrap w:val="0"/>
            <w:vAlign w:val="top"/>
          </w:tcPr>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ABCD</w:t>
            </w:r>
          </w:p>
        </w:tc>
      </w:tr>
    </w:tbl>
    <w:p>
      <w:pPr>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简述题</w:t>
      </w:r>
    </w:p>
    <w:p>
      <w:pPr>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1、二审法院对上诉案件的审理?</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答;二审法院审理上诉案件，依照第二审程序进行。在我国现行民事诉讼法中，第二审程序是按照第二审法院审理上诉案件的特点加以规定的;第二审程序没有规定的，适用第一审普通程序的有关规定。</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一、二审法院对上诉案件的审理范围</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二审法院对上诉案件的审理范围体现了第二审法院的职能，我国《民事诉讼法》第151条规定:第二审人民法院应当对上诉请求的有关事实和适用法律进行审查。</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最高人民法院的有关司法解释,第二审案件的审理应当围绕当事人上诉请求的范围进行，当事人没有提出请求的，不予审查。但判决违反法律禁止性规定，侵害社会公共利益或者他人利菇的除外。被上诉人在答辩中要求变更或者补充第一审判决内容的，第二审人民法院可以不予审查。</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二、上诉审对案件审理的方式</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根据《民事诉讼法》第 152 条规定，第二审人民法院审理上诉案件有两种方式，即开庭审理与径行裁判。二审法院审理上诉案件，以开庭审理为原则。即应当由审判员组成合议庭进行审理。二审法院审理上诉案件，原则上应开庭审理，经过阅卷和调查，询问当事人，在事实核对清楚后，合议庭认为不需要开庭审理的，也可以径行判决、裁定。</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三、第二审法院审理上诉案件的地点</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根据民事诉讼法的规定，二审法院审理上诉案件，可以在本院进行，也可以到案件发生地或原审法院所在地进行。</w:t>
      </w:r>
    </w:p>
    <w:p>
      <w:pPr>
        <w:numPr>
          <w:ilvl w:val="0"/>
          <w:numId w:val="2"/>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第二审法院在第二审程序审理中的调解调解是民事诉讼法的一项基本原则，不论是第一审程序还是第二审程序，都可以根据自愿与合法的原则，在事实清楚的基础上，分清是非，进行调解。因此，调解也是第二审程序中的结案方式之一。在第二审程序中达成调解协议的都应制作调解书，同时，调解书应由审判员和书记员署名，并加盖人民法院的印章。调解书送达当事人后，原审法院的判决即视为撤销。在第二审法院的调解书中，不写“撤销原判”。</w:t>
      </w:r>
    </w:p>
    <w:p>
      <w:pPr>
        <w:widowControl w:val="0"/>
        <w:numPr>
          <w:ilvl w:val="0"/>
          <w:numId w:val="0"/>
        </w:numPr>
        <w:jc w:val="both"/>
        <w:rPr>
          <w:rFonts w:hint="eastAsia" w:ascii="宋体" w:hAnsi="宋体" w:eastAsia="宋体" w:cs="宋体"/>
          <w:b w:val="0"/>
          <w:bCs w:val="0"/>
          <w:sz w:val="24"/>
          <w:szCs w:val="24"/>
          <w:lang w:val="en-US" w:eastAsia="zh-CN"/>
        </w:rPr>
      </w:pPr>
    </w:p>
    <w:p>
      <w:pPr>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2、我国再审程序存在的问题?</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答:一、再审的立法指导思想:1)实事求是2)裁判文书效力的稳定性存在问题:过于强调了实事求是，而忽略了裁判的稳定性，导致法院威信降低。再审过于随意，就会影响裁判文书的稳定性和司法的权威。</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过于强调实事求是的表现:不经二审，直接再审:检察院抗诉，法院再审没有时间限制:法院可以主动再审。</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二、再审程序现行规定比较简单，存在问题:</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1、法院主动再审，是否符合处分原则?民事诉讼强调当事人的处分原则，当事人处分了，不再争求自己的权利，法院还有多大必要去主动再审?法院主动再审违背了处分原则。</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不符合诉审分离原则。一审体现了诉审分离。诉由当事人行使权利，审由法院行使审判权。二审也体现的诉审分离。二审的开始需要当事人的上诉行为。一审、二审都遵守诉审分离，为什么审判监督形成了自诉自审，诉和审的权利都集中到了法院。法院主动再审违背了诉审分离的原则。</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3、主动再审不利于民事法律关系的稳定。</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4、实践中，主动再审极少发生。主动再审时，法官往往带右主观倾向性，主动再审的案件往往进退两难。</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三、检察院的监督</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1、检察院的监督具有片面性:</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A.监督对象片面，只监督法院、法官，不监督当事人;</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B，生效之前不能起诉，也不能参与诉讼:</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2、抗诉存在的问题:</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A.抗诉案件的来源，当事人的申诉是唯一的来源;检察院抗诉，需要到法院阅卷，缺乏尊重，阅卷为正卷，检察院无法掌握真正的背景资料--整个渠道不通畅。</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B.抗谁?谁审?只规定了谁有权抗，至于能抗谁，没有规定，没有形成正式的具有法律效力的文件。逐渐磨合，相互尊重，达成:允许抗同级，抗后如何审，检察院不过问:抗同级后，愿意提就提，不愿意提就指令再审。实践中问题:抗诉后，维持原判，能否再抗诉?如可以再抗诉，则会陷入怪卷。上级检察院抗，缺乏先例与实践。没有规范的规定，造成抗诉实施困难。</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C。再审程序中检察院的地位与权利</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检察员没有合理的座位，造成缺乏诉讼地位及权利。抗诉不能充分发挥作用。</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四、当事人的申请再审申诉没有主体、时间、案件、次数、机关的限制，没有限制的权利往往是空的权利。申请再审难的两个原因:</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a.申请再审的情形、弹性太大。</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b.对再审申请的处理不当。</w:t>
      </w:r>
    </w:p>
    <w:p>
      <w:pPr>
        <w:numPr>
          <w:ilvl w:val="0"/>
          <w:numId w:val="0"/>
        </w:numPr>
        <w:rPr>
          <w:rFonts w:hint="eastAsia" w:ascii="宋体" w:hAnsi="宋体" w:eastAsia="宋体" w:cs="宋体"/>
          <w:b w:val="0"/>
          <w:bCs w:val="0"/>
          <w:sz w:val="24"/>
          <w:szCs w:val="24"/>
          <w:lang w:val="en-US" w:eastAsia="zh-CN"/>
        </w:rPr>
      </w:pPr>
    </w:p>
    <w:p>
      <w:pPr>
        <w:numPr>
          <w:ilvl w:val="0"/>
          <w:numId w:val="3"/>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民事诉讼中的管辖权异议?</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答:所谓管辖权异议，是指人民法院受理案件后，当事人认为受诉人民法院对该案并无管辖权，而向受诉人民法院提出的不服该法院管辖的意见或主张。</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1、管辖异议权的主体</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我国《民事诉讼法》第三十八条规定，提出管辖权异议的主体必须是本案的当事人。这里的“当事人”仅限于本诉中的被告，不包括原告和第三人。</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2、管辖异议权的客体</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所谓管辖权异议的客体，即管辖异议权的对象，是指异议权人对哪些种类的一审民事诉讼管辖可以主张管辖权异议。一审民事诉讼管辖包括法定管辖和裁定管辖。一审民事诉讼的法定管辖包括地域管辖和级别管辖。裁定管辖主要包括移送管辖、指定管辖和转移管辖。</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3、提起管辖权异议的时间</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我国《民事诉讼法》第 113 条的规定:“被告应在收到起诉状副本之日起 15 日内提出答辩状。”那么当事人对管辖权提出异议的期限就应当是接到起诉状副本后的 15 日内。</w:t>
      </w:r>
    </w:p>
    <w:p>
      <w:pPr>
        <w:numPr>
          <w:ilvl w:val="0"/>
          <w:numId w:val="3"/>
        </w:numPr>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管辖权异议的处理依据民事诉讼法第 38 条，当事人提出管辖权异议后，法院应当进行审查，异议成立的，裁定移送至有管辖权的法院，异议不成立的，裁定驳回。</w:t>
      </w:r>
    </w:p>
    <w:p>
      <w:pPr>
        <w:numPr>
          <w:ilvl w:val="0"/>
          <w:numId w:val="0"/>
        </w:numPr>
        <w:ind w:leftChars="0"/>
        <w:rPr>
          <w:rFonts w:hint="eastAsia" w:ascii="宋体" w:hAnsi="宋体" w:eastAsia="宋体" w:cs="宋体"/>
          <w:b w:val="0"/>
          <w:bCs w:val="0"/>
          <w:sz w:val="24"/>
          <w:szCs w:val="24"/>
          <w:lang w:val="en-US" w:eastAsia="zh-CN"/>
        </w:rPr>
      </w:pPr>
    </w:p>
    <w:p>
      <w:pPr>
        <w:numPr>
          <w:ilvl w:val="0"/>
          <w:numId w:val="0"/>
        </w:numPr>
        <w:ind w:leftChars="0"/>
        <w:rPr>
          <w:rFonts w:hint="eastAsia" w:ascii="宋体" w:hAnsi="宋体" w:eastAsia="宋体" w:cs="宋体"/>
          <w:b w:val="0"/>
          <w:bCs w:val="0"/>
          <w:sz w:val="24"/>
          <w:szCs w:val="24"/>
          <w:lang w:val="en-US" w:eastAsia="zh-CN"/>
        </w:rPr>
      </w:pPr>
    </w:p>
    <w:p>
      <w:pPr>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论述题</w:t>
      </w:r>
    </w:p>
    <w:p>
      <w:pPr>
        <w:widowControl w:val="0"/>
        <w:numPr>
          <w:ilvl w:val="0"/>
          <w:numId w:val="4"/>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论民事诉讼中的无独立请求权第三人。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答:(一)无独立请求权第三人的概念与特征</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无独立请求权第三人,是指对原告、被告之间的诉讼标的，虽然不能主张独立的请求权，但与其案件的处理结果有法律上的利害关系而参加到诉讼中去的诉讼参加人。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1)无独立请求权的第三人具有以下特征:</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2)与案件处理结果有法律上的利害关系。</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3)所参加的诉讼正在进行。</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4)自己申请参加诉讼或由人民法院通知其参加诉讼。</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(二)无独立请求权第三人在诉讼中的地位</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独立请求权第三人不是完全独立的诉讼当事人，不具有与当事人相同的诉讼地位。这是因为在诉讼中，无独立请求权第三人并没有向原告和被告提出独立的诉讼请求，而是辅助本诉的一方当事人对抗另一方当事人。无独立请求权第三人参加诉讼的目的，是为了维护自己的合法权益，避免法院对他人作出的判决对自己不利。因此无独立请求权第三人在诉讼中无权承认、放弃、变更诉讼请求，无权请求和解和申请执行。但无独立请求权第一人是广义上的当事人，仍然有自己的诉讼地位，主要表现在以下几个方面:(1)无独立请求权第三人可以自己名义参加诉讼，有权选择辅助的一方;(2)无独立请求权第三人可以独立地行使诉讼权利，承担诉讼义务，不受他人制约;(3)在一审判决中，无独立请求权第三人承担实体义务的，享有上诉权:(4)本诉的原告和被告之间的调解涉及无独立请求权第三人承担实体义务时，应有该无独立请求权第三人参加。</w:t>
      </w:r>
    </w:p>
    <w:p>
      <w:pPr>
        <w:widowControl w:val="0"/>
        <w:numPr>
          <w:ilvl w:val="0"/>
          <w:numId w:val="0"/>
        </w:numPr>
        <w:jc w:val="both"/>
        <w:rPr>
          <w:rFonts w:hint="eastAsia" w:ascii="宋体" w:hAnsi="宋体" w:eastAsia="宋体" w:cs="宋体"/>
          <w:sz w:val="24"/>
          <w:szCs w:val="24"/>
          <w:lang w:val="en-US" w:eastAsia="zh-CN"/>
        </w:rPr>
      </w:pP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(三)无独立请求权第三人参加诉讼的条件</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与案件处理结果有法律上的利害关系。无独立请求权第三人参加诉讼的根据，不是对本案原告和被告争议的诉讼标的有独立的请求权,而是与他人之间争议案件处理结果有法律上的利害关系。这种利害关系是由无独立请求权第三人与原告和被告在实体法上的牵连决定的。正是这种利害关系,使法院对原告和被告之间争议的处理涉及无独立请求权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谓法律上的利害关系,是指无独立请求权第三人的权利义务将受原告和被告间诉讼结果的影响，从而使权利义务有所增加或减少。无独立请求权第三人与案件处理结果具有法律上的利害关系，包括义务性关系、权利性关系、权利义务性关系三种，其中以义务性利害关系最为常见。</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2.所参加的诉讼正在进行。时间是从被告应诉起，到诉讼审理终结止。一般也是第一审程序中参加。这一点与有独立请求权第三人参加诉讼相同。</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3.自己申请参加诉讼或由法院通知其参加诉讼。无独立请求权第三人参加诉讼的方式有一两种，即自己申请参加诉讼和由人民法院通知其参加诉讼。</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(四)应作为无独立请求权第三人参加诉讼的几种情形</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针对司法实践中存在着某些利害关系人是否可以作为第三人的疑问，最高人民法院专门作出了司法解释。根据 2001 年4月 16 日最高人民法院颁布的《关于审理劳动争议案件适用法律若干问题的解释》，下列人员应作为第三人参加诉讼:</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1.用人单位招用尚未解除劳动合同的劳动者，原用人单位与劳动者发生的劳动争议，可以列新的用人单位为第三人。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2.原用人单位以新的用人单位侵权为由向人民法院起诉的，可以列劳动者为第三人。根据最高人民法院《合同法解释(一)》的规定，下列人员应作为第三人参加诉讼</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1.债权人以次债务人为被告向人民法院提起代位权诉讼，未将债务人列为第三人的，人民法院可以追加债务人为第三人。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2.债权人依照合同法有关撤销权的规定提起撤销权诉讼时只以债务人为被告，未将受益人或者受让人列为第三人的，人民法院可以追加该受益人或者受让人为第三人。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3.债权人转让合同权利后，债务人与受让人之间因履行合同发生纠纷诉至人民法院，债务人对债权人的权利提出抗辩的，可以将债权人列为第三人。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4.经债权人同意，债务人转移合同义务后，受让人与债权人之间因履行合同发生纠纷诉至人民法院，受让人就债务人对债权人的权利提出抗辩的，可以将债务人列为第三人。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5.合同当事人一方经对方同意将其在合同中的权利义务一并转让给受让人，对方与受让人因履行合同发生纠纷诉至人民法院，对方就合同权利义务提出抗辩的，可以将出让方列为第三人。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(五)不得作为第三人通知其参加诉讼的几种情形</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为防止审判实务中出现不适当地扩大无独立请求权第三人范围的行为，为维护与案件处理结果无利害关系人的合法利益，最高人民法院于 1994年 12 月颁布了《关于在经济审判工作中严格执行《中华人民共和国民事诉讼法〉的若干规定》，该规定对无独立请求权第三人的范围做了明确的限制，规定下列人员不得作为无独立请求权第三人。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1.与原被告双方争议的诉讼标的无直接牵连和不负有返还或者赔偿等义务的人。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2.与原告或被告约定仲裁或有约定管辖的案外人，或者专属管辖案件的一方当事人。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3.产品质量纠纷案件中，对原被告之间法律关系以外的下列人员:(1)证据证明其已</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经提供了合同约定或者符合法律规定的产品的人;(2)案件中的当事人未在规定的质量异</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议期内向其提出异议的人;(3)案件中的收货方已经认可其提供产品质量的人。</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4.已经履行了义务，或者依法取得了一方当事人的财产，并支付了相应对价的原被告</w:t>
      </w:r>
    </w:p>
    <w:p>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之间法律关系以外的人。此外，根据最高人民法院的批复，在工商行政管理部门进行鉴证、商检局对商品质量进行检验的合同中，如果当事人以合同纠纷提起诉讼，并以工商行政管理部门、商检局有过错应本担民事责任为由，要求将它们列为第三人的,法院不宜将工商局、商检局列为第三人。</w:t>
      </w:r>
    </w:p>
    <w:p>
      <w:pPr>
        <w:widowControl w:val="0"/>
        <w:numPr>
          <w:ilvl w:val="0"/>
          <w:numId w:val="0"/>
        </w:numPr>
        <w:jc w:val="both"/>
        <w:rPr>
          <w:rFonts w:hint="eastAsia" w:ascii="宋体" w:hAnsi="宋体" w:eastAsia="宋体" w:cs="宋体"/>
          <w:sz w:val="24"/>
          <w:szCs w:val="24"/>
          <w:lang w:val="en-US" w:eastAsia="zh-CN"/>
        </w:rPr>
      </w:pPr>
    </w:p>
    <w:p>
      <w:pPr>
        <w:widowControl w:val="0"/>
        <w:numPr>
          <w:ilvl w:val="0"/>
          <w:numId w:val="0"/>
        </w:numPr>
        <w:jc w:val="both"/>
        <w:rPr>
          <w:rFonts w:hint="eastAsia" w:ascii="宋体" w:hAnsi="宋体" w:eastAsia="宋体" w:cs="宋体"/>
          <w:sz w:val="24"/>
          <w:szCs w:val="24"/>
          <w:lang w:val="en-US" w:eastAsia="zh-CN"/>
        </w:rPr>
      </w:pPr>
    </w:p>
    <w:p>
      <w:pPr>
        <w:numPr>
          <w:ilvl w:val="0"/>
          <w:numId w:val="0"/>
        </w:numPr>
        <w:rPr>
          <w:rFonts w:hint="eastAsia" w:ascii="宋体" w:hAnsi="宋体" w:eastAsia="宋体" w:cs="宋体"/>
          <w:b/>
          <w:bCs/>
          <w:sz w:val="24"/>
          <w:szCs w:val="24"/>
          <w:lang w:val="en-US" w:eastAsia="zh-CN"/>
        </w:rPr>
      </w:pPr>
    </w:p>
    <w:p>
      <w:pPr>
        <w:numPr>
          <w:ilvl w:val="0"/>
          <w:numId w:val="5"/>
        </w:numPr>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案例分析题:</w:t>
      </w:r>
    </w:p>
    <w:p>
      <w:pPr>
        <w:numPr>
          <w:ilvl w:val="0"/>
          <w:numId w:val="0"/>
        </w:numPr>
        <w:ind w:leftChars="0"/>
        <w:rPr>
          <w:rFonts w:hint="eastAsia" w:ascii="宋体" w:hAnsi="宋体" w:eastAsia="宋体" w:cs="宋体"/>
          <w:b w:val="0"/>
          <w:bCs w:val="0"/>
          <w:sz w:val="24"/>
          <w:szCs w:val="24"/>
          <w:lang w:val="en-US" w:eastAsia="zh-CN"/>
        </w:rPr>
      </w:pPr>
    </w:p>
    <w:p>
      <w:pPr>
        <w:numPr>
          <w:ilvl w:val="0"/>
          <w:numId w:val="6"/>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答:不能。按照法律规定，对于法人和其他组织，其民事诉讼权利能力始于依法成立，终于解散或撤销。甲公司于 2003年3月与乙公司合并成立了丙公司，甲公司乙经不存在，因而失去了民事诉讼权利能力(也称当事人能力)或说资格，也就是甲公司无法成为诉讼当事人发起诉讼。</w:t>
      </w:r>
    </w:p>
    <w:p>
      <w:pPr>
        <w:numPr>
          <w:ilvl w:val="0"/>
          <w:numId w:val="6"/>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答:可以。根据《民诉意见》，企业法人合并的，合并前的民事活动发生地纠纷，以合并后的企业法人为当事人。在甲公司与乙公司合并为丙公司后，丙公司具备了民事诉讼权利能力，而且丙公司继承了甲公司与乙公司的一切权利义务，可以对合并前甲公司与丁公司的纠纷履行当事人的权利。</w:t>
      </w:r>
    </w:p>
    <w:p>
      <w:pPr>
        <w:numPr>
          <w:ilvl w:val="0"/>
          <w:numId w:val="0"/>
        </w:num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答:证明对象有:1)合同，甲公司与丁公司签订的重油买卖合同;2)丙的主体地位，甲公司与乙公司合并成立丙公司的相关文件;3)在起诉前已采取得力措施使诉讼时效还未满。应由原告丙公司承担证明责任。我国《民事诉讼法》第六十四条第一款规定:“当事人对自己提出的主张，有责任提供证据。” “谁主张，谁举证”，即原告对自己提出的主张，有责任举证证明。且本案不属于由被告负责举证的几类特殊侵权案。</w:t>
      </w:r>
    </w:p>
    <w:p>
      <w:pPr>
        <w:numPr>
          <w:ilvl w:val="0"/>
          <w:numId w:val="0"/>
        </w:numPr>
        <w:rPr>
          <w:rFonts w:hint="default"/>
          <w:b w:val="0"/>
          <w:bCs w:val="0"/>
          <w:sz w:val="24"/>
          <w:szCs w:val="24"/>
          <w:lang w:val="en-US" w:eastAsia="zh-CN"/>
        </w:rPr>
      </w:pPr>
    </w:p>
    <w:p>
      <w:pPr>
        <w:numPr>
          <w:ilvl w:val="0"/>
          <w:numId w:val="0"/>
        </w:numPr>
        <w:rPr>
          <w:rFonts w:hint="default"/>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3EF27"/>
    <w:multiLevelType w:val="singleLevel"/>
    <w:tmpl w:val="9F83EF27"/>
    <w:lvl w:ilvl="0" w:tentative="0">
      <w:start w:val="3"/>
      <w:numFmt w:val="decimal"/>
      <w:suff w:val="nothing"/>
      <w:lvlText w:val="%1、"/>
      <w:lvlJc w:val="left"/>
    </w:lvl>
  </w:abstractNum>
  <w:abstractNum w:abstractNumId="1">
    <w:nsid w:val="D0685AD4"/>
    <w:multiLevelType w:val="singleLevel"/>
    <w:tmpl w:val="D0685AD4"/>
    <w:lvl w:ilvl="0" w:tentative="0">
      <w:start w:val="1"/>
      <w:numFmt w:val="decimal"/>
      <w:lvlText w:val="%1."/>
      <w:lvlJc w:val="left"/>
      <w:pPr>
        <w:tabs>
          <w:tab w:val="left" w:pos="312"/>
        </w:tabs>
      </w:pPr>
    </w:lvl>
  </w:abstractNum>
  <w:abstractNum w:abstractNumId="2">
    <w:nsid w:val="EFA98F04"/>
    <w:multiLevelType w:val="singleLevel"/>
    <w:tmpl w:val="EFA98F04"/>
    <w:lvl w:ilvl="0" w:tentative="0">
      <w:start w:val="1"/>
      <w:numFmt w:val="decimal"/>
      <w:suff w:val="nothing"/>
      <w:lvlText w:val="%1、"/>
      <w:lvlJc w:val="left"/>
    </w:lvl>
  </w:abstractNum>
  <w:abstractNum w:abstractNumId="3">
    <w:nsid w:val="07C87794"/>
    <w:multiLevelType w:val="singleLevel"/>
    <w:tmpl w:val="07C87794"/>
    <w:lvl w:ilvl="0" w:tentative="0">
      <w:start w:val="4"/>
      <w:numFmt w:val="chineseCounting"/>
      <w:suff w:val="nothing"/>
      <w:lvlText w:val="%1、"/>
      <w:lvlJc w:val="left"/>
      <w:rPr>
        <w:rFonts w:hint="eastAsia"/>
      </w:rPr>
    </w:lvl>
  </w:abstractNum>
  <w:abstractNum w:abstractNumId="4">
    <w:nsid w:val="23D26741"/>
    <w:multiLevelType w:val="singleLevel"/>
    <w:tmpl w:val="23D26741"/>
    <w:lvl w:ilvl="0" w:tentative="0">
      <w:start w:val="1"/>
      <w:numFmt w:val="chineseCounting"/>
      <w:suff w:val="nothing"/>
      <w:lvlText w:val="%1、"/>
      <w:lvlJc w:val="left"/>
      <w:rPr>
        <w:rFonts w:hint="eastAsia"/>
      </w:rPr>
    </w:lvl>
  </w:abstractNum>
  <w:abstractNum w:abstractNumId="5">
    <w:nsid w:val="2E582AA5"/>
    <w:multiLevelType w:val="singleLevel"/>
    <w:tmpl w:val="2E582AA5"/>
    <w:lvl w:ilvl="0" w:tentative="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64242D8F"/>
    <w:rsid w:val="08BB45BC"/>
    <w:rsid w:val="0C7A4697"/>
    <w:rsid w:val="143A3F3C"/>
    <w:rsid w:val="15B635D5"/>
    <w:rsid w:val="16351E52"/>
    <w:rsid w:val="17C20BA8"/>
    <w:rsid w:val="1DE71C83"/>
    <w:rsid w:val="23DC56BB"/>
    <w:rsid w:val="28631E47"/>
    <w:rsid w:val="354F11D6"/>
    <w:rsid w:val="3BED0190"/>
    <w:rsid w:val="4EA824BA"/>
    <w:rsid w:val="50C57345"/>
    <w:rsid w:val="55E14D03"/>
    <w:rsid w:val="5E671A49"/>
    <w:rsid w:val="64242D8F"/>
    <w:rsid w:val="6B0F149F"/>
    <w:rsid w:val="6DFB77A2"/>
    <w:rsid w:val="6E405E13"/>
    <w:rsid w:val="70545BA6"/>
    <w:rsid w:val="72541E8D"/>
    <w:rsid w:val="782C7E59"/>
    <w:rsid w:val="7EDA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7918</Words>
  <Characters>7998</Characters>
  <Lines>0</Lines>
  <Paragraphs>0</Paragraphs>
  <TotalTime>0</TotalTime>
  <ScaleCrop>false</ScaleCrop>
  <LinksUpToDate>false</LinksUpToDate>
  <CharactersWithSpaces>8024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2022-11-28T13:15:00Z</dcterms:created>
  <dc:creator>不甜</dc:creator>
  <cp:lastModifiedBy>育华教育叶燮燮</cp:lastModifiedBy>
  <dcterms:modified xsi:type="dcterms:W3CDTF">2023-12-01T06:40:20Z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437F3154D67C4B26AF5D8D1B659939F1</vt:lpwstr>
  </property>
</Properties>
</file>