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jc w:val="center"/>
        <w:textAlignment w:val="auto"/>
        <w:rPr>
          <w:rFonts w:hint="eastAsia" w:ascii="宋体" w:hAnsi="宋体" w:eastAsia="宋体" w:cs="宋体"/>
          <w:b/>
          <w:kern w:val="0"/>
          <w:sz w:val="21"/>
          <w:szCs w:val="21"/>
        </w:rPr>
      </w:pPr>
      <w:r>
        <w:rPr>
          <w:rFonts w:hint="eastAsia" w:ascii="宋体" w:hAnsi="宋体" w:cs="宋体"/>
          <w:b/>
          <w:kern w:val="0"/>
          <w:sz w:val="21"/>
          <w:szCs w:val="21"/>
          <w:lang w:eastAsia="zh-CN"/>
        </w:rPr>
        <w:t>民事诉讼法复习资料</w:t>
      </w:r>
    </w:p>
    <w:p>
      <w:pPr>
        <w:keepNext w:val="0"/>
        <w:keepLines w:val="0"/>
        <w:pageBreakBefore w:val="0"/>
        <w:widowControl/>
        <w:numPr>
          <w:ilvl w:val="0"/>
          <w:numId w:val="1"/>
        </w:numPr>
        <w:kinsoku/>
        <w:overflowPunct/>
        <w:topLinePunct w:val="0"/>
        <w:autoSpaceDE/>
        <w:autoSpaceDN/>
        <w:bidi w:val="0"/>
        <w:snapToGrid/>
        <w:spacing w:before="157" w:beforeLines="50" w:beforeAutospacing="0" w:after="157" w:afterLines="50" w:afterAutospacing="0" w:line="20" w:lineRule="atLeast"/>
        <w:ind w:leftChars="0"/>
        <w:jc w:val="lef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名词解释</w:t>
      </w:r>
    </w:p>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民事程序法</w:t>
      </w:r>
    </w:p>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ind w:leftChars="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既判力　　</w:t>
      </w:r>
    </w:p>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ind w:leftChars="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3.民事案件的管辖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4.原告　</w:t>
      </w:r>
    </w:p>
    <w:p>
      <w:pPr>
        <w:keepNext w:val="0"/>
        <w:keepLines w:val="0"/>
        <w:pageBreakBefore w:val="0"/>
        <w:widowControl/>
        <w:kinsoku/>
        <w:overflowPunct/>
        <w:topLinePunct w:val="0"/>
        <w:autoSpaceDE/>
        <w:autoSpaceDN/>
        <w:bidi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5.证明责任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二、单项选择题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1.民事诉讼法规定，人民法院审理民事案件，依照法律规定实行(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一审终审制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B.二审终审制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 三审终审制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D.复审制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 民事诉讼法》第14条规定:(    )有权对民事审判活动实行法律监督。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人民法院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B.人民检察院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 公民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D.党组织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 《民事诉讼法》第6条规定:当事人因不可抗力的事由或者其他正当理由耽误期限的，在障碍消除后的(    )内，可以申请顺延期限，是否准许，由人民法院决定。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A</w:t>
      </w:r>
      <w:r>
        <w:rPr>
          <w:rFonts w:hint="eastAsia" w:ascii="宋体" w:hAnsi="宋体" w:eastAsia="宋体" w:cs="宋体"/>
          <w:kern w:val="0"/>
          <w:sz w:val="21"/>
          <w:szCs w:val="21"/>
        </w:rPr>
        <w:t xml:space="preserve">.3日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B. 5日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 7日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D.1 0日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4.人民法院进行调解，可以由(   )主持。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审判员 一 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B.审判员二人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C .陪审员二人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D.陪审员三人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5.公证债权文书确有错误的，人民法院裁定(   )，并将裁定书送达双方当事人和公证机关。　A.暂不执行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B.不予执行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C.当事人提供担保后执行</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D.向上级人民法院申请执行　　</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甲与乙系夫妻关系，四年前乙下落不明。甲提起离婚之诉。对于该起诉，法院应如何处理？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A.法院应不予受理，并告知甲应当依照特别程序申请宣告乙死亡</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B.法院应不予受理，并告知甲应先依照特别程序申请宣告乙为失踪人</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C.法院应当受理，但在受理后应当裁定中止诉讼，并依照特别程序认定乙为失踪人后，再对离婚之诉作出判决</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D.法院应当受理，并向乙公告送达有关的诉讼文书</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高级人民法院管辖的(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)第一审民事案件。</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A.重大涉外的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B.在本辖区有重大影响的</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C.认为应当由本院审理的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D.最高人民法院确定由高级人民法院管辖的</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甲养的宠物狗将乙咬伤，乙起诉甲请求损害赔偿。诉讼过程中，甲认为乙被咬伤是因为乙故意逗狗造成的。关于本案中举证责任的分配，下列哪一选项是正确的？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A.甲应当就乙受损害与自己的宠物狗没有因果关系进行举证</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B.甲应当对乙故意逗狗而遭狗咬伤的事实负举证责任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C.乙应当就自己没有逗狗的故意负举证责任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D.乙应当就自己受到甲的宠物狗伤害以及自己没有逗狗的故意负举证责任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当事人收到中止或终结执行的裁定后(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A.可以上诉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B.可以申诉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C.可以申请复议一次</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D.立即生效</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甲的汇票遗失，向法院申请公示催告。公告期满后无人申报权利，甲申请法院作出了除权判决。后乙主张对该票据享有票据权利，只是因为客观原因而没能在判决前向法院申报权利。乙可以采取哪种法律对策？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A.申请法院撤销该除权判决</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B.在知道或者应当知道判决公告之日起一年内，向作出除权判决的法院起诉</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C.依照审判监督程序的规定，申请法院对该案件进行再审</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D.在2年的诉讼时效期间之内，向作出除权判决的法院起诉</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三、多项选择题</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当事人主义诉讼模式主要具有的优点有(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 当事人诉讼权利大，法官职权小，法官职权受当事人诉讼权力的制约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 当事人是形成判决的主体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 程序公正才是反映司法活动规律和内在要求的价值目标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 法官具有良好的素质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 人民法院审理民事案件，应当根据( )和( )的原则进行调解;调解不成的，应当及时判决。(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A.合理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B.及时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C.自愿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D.合法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3.法律规定不公开审理或者可以不公开审理的案件主要有(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涉及国家秘密的案件</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B.涉及个人隐私的案件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离婚案件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D.涉及商业秘密的案件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4.人民法院确认为无主财产的，可以判决收归(        )所有。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申请人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B.利害关系人　　C. 国家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D.集体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 被执行人不履行法律文书确定的义务，并隐匿财产的，人民法院有权发出搜查令，对(      )进行搜查。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A.财产所在地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C.被执行人住所地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B.被执行人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D.财产隐匿地　</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6.</w:t>
      </w:r>
      <w:r>
        <w:rPr>
          <w:rStyle w:val="6"/>
          <w:rFonts w:hint="eastAsia" w:ascii="宋体" w:hAnsi="宋体" w:eastAsia="宋体" w:cs="宋体"/>
          <w:sz w:val="21"/>
          <w:szCs w:val="21"/>
        </w:rPr>
        <w:t>根据《民事诉讼法》的规定，中级人民法院管辖下列哪些案件？</w:t>
      </w:r>
      <w:r>
        <w:rPr>
          <w:rStyle w:val="6"/>
          <w:rFonts w:hint="eastAsia" w:ascii="宋体" w:hAnsi="宋体" w:eastAsia="宋体" w:cs="宋体"/>
          <w:sz w:val="21"/>
          <w:szCs w:val="21"/>
          <w:lang w:eastAsia="zh-CN"/>
        </w:rPr>
        <w:t>（</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A.涉外民事案件</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B.重大涉外案件</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C.在本辖区有重大影响的案件</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D.最高人民法院确定由中级人民法院管辖的案件</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7.</w:t>
      </w:r>
      <w:r>
        <w:rPr>
          <w:rStyle w:val="6"/>
          <w:rFonts w:hint="eastAsia" w:ascii="宋体" w:hAnsi="宋体" w:eastAsia="宋体" w:cs="宋体"/>
          <w:sz w:val="21"/>
          <w:szCs w:val="21"/>
        </w:rPr>
        <w:t>在涉外仲裁中，当事人申请采取财产保全的，中华人民共和国的涉外仲裁机构应当将当事人的申请提交下列哪些法院？</w:t>
      </w:r>
      <w:r>
        <w:rPr>
          <w:rStyle w:val="6"/>
          <w:rFonts w:hint="eastAsia" w:ascii="宋体" w:hAnsi="宋体" w:eastAsia="宋体" w:cs="宋体"/>
          <w:sz w:val="21"/>
          <w:szCs w:val="21"/>
          <w:lang w:eastAsia="zh-CN"/>
        </w:rPr>
        <w:t>（</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A.被申请人住所地的基层人民法院</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B.被申请人住所地的中级人民法院</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C.财产所在地的中级人民法院</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D.该仲裁机构所在地的中级人民法院</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8.</w:t>
      </w:r>
      <w:r>
        <w:rPr>
          <w:rFonts w:hint="eastAsia" w:ascii="宋体" w:hAnsi="宋体" w:eastAsia="宋体" w:cs="宋体"/>
          <w:sz w:val="21"/>
          <w:szCs w:val="21"/>
        </w:rPr>
        <w:t>下列关于无独立请求权第三人的说法，哪些是正确的？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A.无独立请求权第三人不无权提起上诉</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B.无独立请求权第三人是否有权上诉取决于法院一审判决是否判决其承担民事责任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C.无独立请求权第三人参加诉讼的案件，人民法院调解时需要确定无独立请求权的第三人承担义务的，应经第三人的同意，调解书应当同时送达第三人</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D.无独立请求权的第三人无权放弃、变更诉讼请求</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9.</w:t>
      </w:r>
      <w:r>
        <w:rPr>
          <w:rFonts w:hint="eastAsia" w:ascii="宋体" w:hAnsi="宋体" w:eastAsia="宋体" w:cs="宋体"/>
          <w:sz w:val="21"/>
          <w:szCs w:val="21"/>
        </w:rPr>
        <w:t>因共同海损提起的诉讼，由(</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)人民法院管辖。</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A.船舶注册地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B.船舶航程终止地</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C.共同海损理算地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D.船舶碰撞地</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10.</w:t>
      </w:r>
      <w:r>
        <w:rPr>
          <w:rFonts w:hint="eastAsia" w:ascii="宋体" w:hAnsi="宋体" w:eastAsia="宋体" w:cs="宋体"/>
          <w:sz w:val="21"/>
          <w:szCs w:val="21"/>
        </w:rPr>
        <w:t>原告陈某欲向李某提起财产侵害诉讼，2018年12月21日，人民法院应陈某的请求对李某一处房产实行保全，至2019年1月15日陈某仍未起诉，人民法院应当(</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A.令陈某提供担保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B.解除财产保全措施</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C.命令陈某起诉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D.裁定陈某赔偿李某因保全面遭受的损失</w:t>
      </w:r>
      <w:r>
        <w:rPr>
          <w:rFonts w:hint="eastAsia" w:ascii="宋体" w:hAnsi="宋体" w:eastAsia="宋体" w:cs="宋体"/>
          <w:kern w:val="0"/>
          <w:sz w:val="21"/>
          <w:szCs w:val="21"/>
        </w:rPr>
        <w:t>　</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四、判断题</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1.根据民事诉讼法的规定及最高人民法院的司法解释，涉外民事案件由中级人民法院管辖。（</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rPr>
        <w:t>2.</w:t>
      </w:r>
      <w:r>
        <w:rPr>
          <w:rFonts w:hint="eastAsia" w:ascii="宋体" w:hAnsi="宋体" w:eastAsia="宋体" w:cs="宋体"/>
          <w:b w:val="0"/>
          <w:bCs w:val="0"/>
          <w:color w:val="auto"/>
          <w:sz w:val="21"/>
          <w:szCs w:val="21"/>
        </w:rPr>
        <w:t>当事人在依协议方式选择管辖法院时，既可以就合同纠纷案件选择管辖法院，也可以就其他财产权益纠纷案件选择管辖法院。（</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rPr>
        <w:t>3.</w:t>
      </w:r>
      <w:r>
        <w:rPr>
          <w:rFonts w:hint="eastAsia" w:ascii="宋体" w:hAnsi="宋体" w:eastAsia="宋体" w:cs="宋体"/>
          <w:b w:val="0"/>
          <w:bCs w:val="0"/>
          <w:color w:val="auto"/>
          <w:sz w:val="21"/>
          <w:szCs w:val="21"/>
        </w:rPr>
        <w:t>接受移送的人民法院认为本法院没有管辖权的，应当将案件再移送有管辖权的人民法院。（</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rPr>
        <w:t>4.</w:t>
      </w:r>
      <w:r>
        <w:rPr>
          <w:rFonts w:hint="eastAsia" w:ascii="宋体" w:hAnsi="宋体" w:eastAsia="宋体" w:cs="宋体"/>
          <w:b w:val="0"/>
          <w:bCs w:val="0"/>
          <w:color w:val="auto"/>
          <w:sz w:val="21"/>
          <w:szCs w:val="21"/>
        </w:rPr>
        <w:t>公民在户口迁出后迁入另一地之前，与他人发生纠纷引起诉讼的，由经常居住地人民法院管辖。（</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5.</w:t>
      </w:r>
      <w:r>
        <w:rPr>
          <w:rFonts w:hint="eastAsia" w:ascii="宋体" w:hAnsi="宋体" w:eastAsia="宋体" w:cs="宋体"/>
          <w:b w:val="0"/>
          <w:bCs w:val="0"/>
          <w:color w:val="auto"/>
          <w:sz w:val="21"/>
          <w:szCs w:val="21"/>
        </w:rPr>
        <w:t>作为民事诉讼的当事人，既要有诉讼权利能力，又要有诉讼行为能力。（</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6.</w:t>
      </w:r>
      <w:r>
        <w:rPr>
          <w:rFonts w:hint="eastAsia" w:ascii="宋体" w:hAnsi="宋体" w:eastAsia="宋体" w:cs="宋体"/>
          <w:b w:val="0"/>
          <w:bCs w:val="0"/>
          <w:color w:val="auto"/>
          <w:sz w:val="21"/>
          <w:szCs w:val="21"/>
        </w:rPr>
        <w:t>无独立请求权的第三人与有独立请求权的第三人在诉讼中的地位是完全相同的。（</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7.</w:t>
      </w:r>
      <w:r>
        <w:rPr>
          <w:rFonts w:hint="eastAsia" w:ascii="宋体" w:hAnsi="宋体" w:eastAsia="宋体" w:cs="宋体"/>
          <w:b w:val="0"/>
          <w:bCs w:val="0"/>
          <w:color w:val="auto"/>
          <w:sz w:val="21"/>
          <w:szCs w:val="21"/>
        </w:rPr>
        <w:t>无论是必要的共同诉讼还是普通的共同诉讼，人民法院都必须合并审理。（</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8.</w:t>
      </w:r>
      <w:r>
        <w:rPr>
          <w:rFonts w:hint="eastAsia" w:ascii="宋体" w:hAnsi="宋体" w:eastAsia="宋体" w:cs="宋体"/>
          <w:b w:val="0"/>
          <w:bCs w:val="0"/>
          <w:color w:val="auto"/>
          <w:sz w:val="21"/>
          <w:szCs w:val="21"/>
        </w:rPr>
        <w:t>诉讼代表人在诉讼过程中的一切诉讼行为对其所代表的当事人均有约束力。（</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rPr>
        <w:t>由于送达的主体只能是人民法院，因此，委托送达只能委托异地人民法院，不能委托其他机关。（</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10.</w:t>
      </w:r>
      <w:r>
        <w:rPr>
          <w:rFonts w:hint="eastAsia" w:ascii="宋体" w:hAnsi="宋体" w:eastAsia="宋体" w:cs="宋体"/>
          <w:b w:val="0"/>
          <w:bCs w:val="0"/>
          <w:color w:val="auto"/>
          <w:sz w:val="21"/>
          <w:szCs w:val="21"/>
        </w:rPr>
        <w:t>法院调解是离婚案件的必经程序。（</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ascii="宋体" w:hAnsi="宋体" w:cs="宋体"/>
          <w:b/>
          <w:kern w:val="0"/>
          <w:szCs w:val="21"/>
        </w:rPr>
      </w:pPr>
      <w:r>
        <w:rPr>
          <w:rFonts w:hint="eastAsia" w:ascii="宋体" w:hAnsi="宋体" w:cs="AdobeHeitiStd-Regular"/>
          <w:b/>
          <w:kern w:val="0"/>
          <w:szCs w:val="21"/>
        </w:rPr>
        <w:t>四、简答题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cs="AdobeHeitiStd-Regular"/>
          <w:kern w:val="0"/>
          <w:szCs w:val="21"/>
        </w:rPr>
      </w:pPr>
      <w:r>
        <w:rPr>
          <w:rFonts w:hint="eastAsia" w:ascii="宋体" w:hAnsi="宋体" w:cs="AdobeHeitiStd-Regular"/>
          <w:kern w:val="0"/>
          <w:szCs w:val="21"/>
        </w:rPr>
        <w:t>1.民事诉讼法与行政诉讼法的区别。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ascii="宋体" w:hAnsi="宋体" w:cs="宋体"/>
          <w:kern w:val="0"/>
          <w:szCs w:val="21"/>
        </w:rPr>
      </w:pPr>
      <w:r>
        <w:rPr>
          <w:rFonts w:hint="eastAsia" w:ascii="宋体" w:hAnsi="宋体" w:cs="AdobeHeitiStd-Regular"/>
          <w:kern w:val="0"/>
          <w:szCs w:val="21"/>
        </w:rPr>
        <w:t>2.简述人民法院提起审判监督程序的三种情况。　　</w:t>
      </w:r>
    </w:p>
    <w:p>
      <w:pPr>
        <w:keepNext w:val="0"/>
        <w:keepLines w:val="0"/>
        <w:pageBreakBefore w:val="0"/>
        <w:widowControl/>
        <w:kinsoku/>
        <w:overflowPunct/>
        <w:topLinePunct w:val="0"/>
        <w:autoSpaceDE/>
        <w:autoSpaceDN/>
        <w:bidi w:val="0"/>
        <w:snapToGrid/>
        <w:spacing w:before="157" w:beforeLines="50" w:beforeAutospacing="0" w:after="157" w:afterLines="50" w:afterAutospacing="0" w:line="20" w:lineRule="atLeast"/>
        <w:jc w:val="left"/>
        <w:textAlignment w:val="auto"/>
        <w:rPr>
          <w:rFonts w:hint="eastAsia" w:ascii="宋体" w:hAnsi="宋体" w:cs="宋体"/>
          <w:b/>
          <w:kern w:val="0"/>
          <w:szCs w:val="21"/>
        </w:rPr>
      </w:pP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b w:val="0"/>
          <w:bCs w:val="0"/>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b/>
          <w:color w:val="FF0000"/>
          <w:kern w:val="0"/>
          <w:sz w:val="21"/>
          <w:szCs w:val="21"/>
        </w:rPr>
      </w:pPr>
    </w:p>
    <w:p>
      <w:pPr>
        <w:widowControl/>
        <w:wordWrap/>
        <w:adjustRightInd w:val="0"/>
        <w:jc w:val="center"/>
        <w:rPr>
          <w:rFonts w:hint="eastAsia" w:ascii="宋体" w:hAnsi="宋体" w:eastAsia="宋体" w:cs="宋体"/>
          <w:kern w:val="0"/>
          <w:sz w:val="21"/>
          <w:szCs w:val="21"/>
        </w:rPr>
      </w:pPr>
      <w:r>
        <w:rPr>
          <w:rFonts w:hint="eastAsia" w:ascii="宋体" w:hAnsi="宋体" w:eastAsia="宋体" w:cs="宋体"/>
          <w:b/>
          <w:color w:val="FF0000"/>
          <w:kern w:val="0"/>
          <w:sz w:val="21"/>
          <w:szCs w:val="21"/>
        </w:rPr>
        <w:t>民事诉讼法复习资料</w:t>
      </w:r>
      <w:r>
        <w:rPr>
          <w:rFonts w:hint="eastAsia" w:ascii="宋体" w:hAnsi="宋体" w:eastAsia="宋体" w:cs="宋体"/>
          <w:b/>
          <w:color w:val="FF0000"/>
          <w:kern w:val="0"/>
          <w:sz w:val="21"/>
          <w:szCs w:val="21"/>
          <w:lang w:eastAsia="zh-CN"/>
        </w:rPr>
        <w:t>参考资料</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一、名词解释</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1. 民事程序法是国家权力机关制定的预防和解决民事纠纷适用的方法性法律，是由诸多法律组成的法律体系。</w:t>
      </w:r>
    </w:p>
    <w:p>
      <w:pPr>
        <w:widowControl/>
        <w:wordWrap w:val="0"/>
        <w:jc w:val="left"/>
        <w:rPr>
          <w:rFonts w:hint="eastAsia" w:ascii="宋体" w:hAnsi="宋体" w:eastAsia="宋体" w:cs="宋体"/>
          <w:kern w:val="0"/>
          <w:sz w:val="21"/>
          <w:szCs w:val="21"/>
        </w:rPr>
      </w:pP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2.</w:t>
      </w:r>
    </w:p>
    <w:p>
      <w:pPr>
        <w:widowControl/>
        <w:wordWrap w:val="0"/>
        <w:jc w:val="left"/>
        <w:rPr>
          <w:rFonts w:hint="eastAsia" w:ascii="宋体" w:hAnsi="宋体" w:eastAsia="宋体" w:cs="宋体"/>
          <w:kern w:val="0"/>
          <w:sz w:val="21"/>
          <w:szCs w:val="21"/>
        </w:rPr>
      </w:pP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3. 民事案件的管辖，是指各级人民法院之间以及同级人民法院之间，受理第一审民事案件的分工和权限。</w:t>
      </w:r>
    </w:p>
    <w:p>
      <w:pPr>
        <w:widowControl/>
        <w:wordWrap w:val="0"/>
        <w:jc w:val="left"/>
        <w:rPr>
          <w:rFonts w:hint="eastAsia" w:ascii="宋体" w:hAnsi="宋体" w:eastAsia="宋体" w:cs="宋体"/>
          <w:kern w:val="0"/>
          <w:sz w:val="21"/>
          <w:szCs w:val="21"/>
        </w:rPr>
      </w:pP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4. 原告，是指因民事使权利义务发生争议，以自己的名义向人民法院提起民事诉讼，并引起诉讼程序发生的人。</w:t>
      </w:r>
    </w:p>
    <w:p>
      <w:pPr>
        <w:widowControl/>
        <w:wordWrap w:val="0"/>
        <w:jc w:val="left"/>
        <w:rPr>
          <w:rFonts w:hint="eastAsia" w:ascii="宋体" w:hAnsi="宋体" w:eastAsia="宋体" w:cs="宋体"/>
          <w:kern w:val="0"/>
          <w:sz w:val="21"/>
          <w:szCs w:val="21"/>
        </w:rPr>
      </w:pP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5.</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　 　</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二、单项选择题　 　</w:t>
      </w:r>
    </w:p>
    <w:p>
      <w:pPr>
        <w:widowControl/>
        <w:wordWrap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 xml:space="preserve">1. B  2. B  3.   4. A  5. </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lang w:val="en-US" w:eastAsia="zh-CN"/>
        </w:rPr>
        <w:t xml:space="preserve">   6.C   7.B    8.A    9.   10. C</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　 　</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三、多项选择题</w:t>
      </w:r>
    </w:p>
    <w:p>
      <w:pPr>
        <w:widowControl/>
        <w:wordWrap w:val="0"/>
        <w:jc w:val="left"/>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1.</w:t>
      </w:r>
      <w:r>
        <w:rPr>
          <w:rFonts w:hint="eastAsia" w:ascii="宋体" w:hAnsi="宋体" w:eastAsia="宋体" w:cs="宋体"/>
          <w:kern w:val="0"/>
          <w:sz w:val="21"/>
          <w:szCs w:val="21"/>
        </w:rPr>
        <w:t xml:space="preserve">ABC  </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2</w:t>
      </w:r>
      <w:r>
        <w:rPr>
          <w:rFonts w:hint="eastAsia" w:ascii="宋体" w:hAnsi="宋体" w:cs="宋体"/>
          <w:kern w:val="0"/>
          <w:sz w:val="21"/>
          <w:szCs w:val="21"/>
          <w:lang w:val="en-US" w:eastAsia="zh-CN"/>
        </w:rPr>
        <w:t>.</w:t>
      </w:r>
      <w:r>
        <w:rPr>
          <w:rFonts w:hint="eastAsia" w:ascii="宋体" w:hAnsi="宋体" w:eastAsia="宋体" w:cs="宋体"/>
          <w:kern w:val="0"/>
          <w:sz w:val="21"/>
          <w:szCs w:val="21"/>
        </w:rPr>
        <w:t>CD  3</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rPr>
        <w:t xml:space="preserve"> 4</w:t>
      </w:r>
      <w:r>
        <w:rPr>
          <w:rFonts w:hint="eastAsia" w:ascii="宋体" w:hAnsi="宋体" w:cs="宋体"/>
          <w:kern w:val="0"/>
          <w:sz w:val="21"/>
          <w:szCs w:val="21"/>
          <w:lang w:val="en-US" w:eastAsia="zh-CN"/>
        </w:rPr>
        <w:t>.</w:t>
      </w:r>
      <w:r>
        <w:rPr>
          <w:rFonts w:hint="eastAsia" w:ascii="宋体" w:hAnsi="宋体" w:eastAsia="宋体" w:cs="宋体"/>
          <w:kern w:val="0"/>
          <w:sz w:val="21"/>
          <w:szCs w:val="21"/>
        </w:rPr>
        <w:t>CD  5</w:t>
      </w:r>
      <w:r>
        <w:rPr>
          <w:rFonts w:hint="eastAsia" w:ascii="宋体" w:hAnsi="宋体" w:cs="宋体"/>
          <w:kern w:val="0"/>
          <w:sz w:val="21"/>
          <w:szCs w:val="21"/>
          <w:lang w:val="en-US" w:eastAsia="zh-CN"/>
        </w:rPr>
        <w:t>.</w:t>
      </w:r>
      <w:r>
        <w:rPr>
          <w:rFonts w:hint="eastAsia" w:ascii="宋体" w:hAnsi="宋体" w:eastAsia="宋体" w:cs="宋体"/>
          <w:kern w:val="0"/>
          <w:sz w:val="21"/>
          <w:szCs w:val="21"/>
        </w:rPr>
        <w:t>BCD</w:t>
      </w:r>
      <w:r>
        <w:rPr>
          <w:rFonts w:hint="eastAsia" w:ascii="宋体" w:hAnsi="宋体" w:eastAsia="宋体" w:cs="宋体"/>
          <w:kern w:val="0"/>
          <w:sz w:val="21"/>
          <w:szCs w:val="21"/>
          <w:lang w:val="en-US" w:eastAsia="zh-CN"/>
        </w:rPr>
        <w:t xml:space="preserve">   6.   7.BC   8.BCD   9.BC   10.</w:t>
      </w:r>
    </w:p>
    <w:p>
      <w:pPr>
        <w:widowControl/>
        <w:wordWrap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四、判断题</w:t>
      </w:r>
    </w:p>
    <w:p>
      <w:pPr>
        <w:widowControl/>
        <w:wordWrap w:val="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1.错  2.  3.错  4. </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lang w:val="en-US" w:eastAsia="zh-CN"/>
        </w:rPr>
        <w:t>5.错  6.</w:t>
      </w:r>
      <w:r>
        <w:rPr>
          <w:rFonts w:hint="eastAsia" w:ascii="宋体" w:hAnsi="宋体" w:cs="宋体"/>
          <w:kern w:val="0"/>
          <w:sz w:val="21"/>
          <w:szCs w:val="21"/>
          <w:lang w:val="en-US" w:eastAsia="zh-CN"/>
        </w:rPr>
        <w:t xml:space="preserve">  </w:t>
      </w:r>
      <w:r>
        <w:rPr>
          <w:rFonts w:hint="eastAsia" w:ascii="宋体" w:hAnsi="宋体" w:eastAsia="宋体" w:cs="宋体"/>
          <w:kern w:val="0"/>
          <w:sz w:val="21"/>
          <w:szCs w:val="21"/>
          <w:lang w:val="en-US" w:eastAsia="zh-CN"/>
        </w:rPr>
        <w:t xml:space="preserve">  7.错  8.错  9.  10.对</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　 　</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五</w:t>
      </w:r>
      <w:r>
        <w:rPr>
          <w:rFonts w:hint="eastAsia" w:ascii="宋体" w:hAnsi="宋体" w:eastAsia="宋体" w:cs="宋体"/>
          <w:kern w:val="0"/>
          <w:sz w:val="21"/>
          <w:szCs w:val="21"/>
        </w:rPr>
        <w:t>、简答题</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1. 民事诉讼法与行政诉讼法的区别。</w:t>
      </w:r>
    </w:p>
    <w:p>
      <w:pPr>
        <w:widowControl/>
        <w:wordWrap w:val="0"/>
        <w:jc w:val="left"/>
        <w:rPr>
          <w:rFonts w:hint="eastAsia" w:ascii="宋体" w:hAnsi="宋体" w:cs="宋体"/>
          <w:kern w:val="0"/>
          <w:sz w:val="21"/>
          <w:szCs w:val="21"/>
          <w:lang w:val="en-US" w:eastAsia="zh-CN"/>
        </w:rPr>
      </w:pPr>
      <w:r>
        <w:rPr>
          <w:rFonts w:hint="eastAsia" w:ascii="宋体" w:hAnsi="宋体" w:cs="宋体"/>
          <w:kern w:val="0"/>
          <w:sz w:val="21"/>
          <w:szCs w:val="21"/>
          <w:lang w:val="en-US" w:eastAsia="zh-CN"/>
        </w:rPr>
        <w:t>答：</w:t>
      </w:r>
    </w:p>
    <w:p>
      <w:pPr>
        <w:widowControl/>
        <w:wordWrap w:val="0"/>
        <w:jc w:val="left"/>
        <w:rPr>
          <w:rFonts w:hint="eastAsia" w:ascii="宋体" w:hAnsi="宋体" w:cs="宋体"/>
          <w:kern w:val="0"/>
          <w:sz w:val="21"/>
          <w:szCs w:val="21"/>
          <w:lang w:val="en-US" w:eastAsia="zh-CN"/>
        </w:rPr>
      </w:pPr>
    </w:p>
    <w:p>
      <w:pPr>
        <w:widowControl/>
        <w:wordWrap w:val="0"/>
        <w:jc w:val="left"/>
        <w:rPr>
          <w:rFonts w:hint="eastAsia" w:ascii="宋体" w:hAnsi="宋体" w:cs="宋体"/>
          <w:kern w:val="0"/>
          <w:sz w:val="21"/>
          <w:szCs w:val="21"/>
          <w:lang w:val="en-US" w:eastAsia="zh-CN"/>
        </w:rPr>
      </w:pPr>
      <w:bookmarkStart w:id="0" w:name="_GoBack"/>
      <w:bookmarkEnd w:id="0"/>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　 　</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2. </w:t>
      </w:r>
      <w:r>
        <w:rPr>
          <w:rFonts w:hint="eastAsia" w:ascii="宋体" w:hAnsi="宋体" w:cs="宋体"/>
          <w:kern w:val="0"/>
          <w:sz w:val="21"/>
          <w:szCs w:val="21"/>
          <w:lang w:val="en-US" w:eastAsia="zh-CN"/>
        </w:rPr>
        <w:t>答：</w:t>
      </w:r>
      <w:r>
        <w:rPr>
          <w:rFonts w:hint="eastAsia" w:ascii="宋体" w:hAnsi="宋体" w:eastAsia="宋体" w:cs="宋体"/>
          <w:kern w:val="0"/>
          <w:sz w:val="21"/>
          <w:szCs w:val="21"/>
        </w:rPr>
        <w:t>人民法院提起审判监督程序的三种情况。</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(1 )各级人民法院院长，发现本院作出得以生效的裁判、调解书确有错误，需要再审的，可</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提起再审程序。</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(2 )最高人民法院对地方各级人民法院已生效的裁判、调解书发现有错误，需要再审的程序。</w:t>
      </w:r>
    </w:p>
    <w:p>
      <w:pPr>
        <w:widowControl/>
        <w:wordWrap w:val="0"/>
        <w:jc w:val="left"/>
        <w:rPr>
          <w:rFonts w:hint="eastAsia" w:ascii="宋体" w:hAnsi="宋体" w:eastAsia="宋体" w:cs="宋体"/>
          <w:kern w:val="0"/>
          <w:sz w:val="21"/>
          <w:szCs w:val="21"/>
        </w:rPr>
      </w:pPr>
      <w:r>
        <w:rPr>
          <w:rFonts w:hint="eastAsia" w:ascii="宋体" w:hAnsi="宋体" w:eastAsia="宋体" w:cs="宋体"/>
          <w:kern w:val="0"/>
          <w:sz w:val="21"/>
          <w:szCs w:val="21"/>
        </w:rPr>
        <w:t>(3) 上级人民法院对下级人民法院已生效的裁判、调解书发现确有错误，提起再审程序。</w:t>
      </w:r>
    </w:p>
    <w:p>
      <w:pPr>
        <w:widowControl/>
        <w:wordWrap w:val="0"/>
        <w:jc w:val="left"/>
        <w:rPr>
          <w:rFonts w:hint="eastAsia" w:ascii="宋体" w:hAnsi="宋体" w:eastAsia="宋体" w:cs="宋体"/>
          <w:kern w:val="0"/>
          <w:sz w:val="21"/>
          <w:szCs w:val="21"/>
        </w:rPr>
      </w:pPr>
    </w:p>
    <w:p>
      <w:pPr>
        <w:widowControl/>
        <w:wordWrap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　 　</w:t>
      </w:r>
    </w:p>
    <w:p>
      <w:pPr>
        <w:rPr>
          <w:rFonts w:hint="eastAsia" w:ascii="宋体" w:hAnsi="宋体" w:eastAsia="宋体" w:cs="宋体"/>
          <w:b/>
          <w:bCs/>
          <w:sz w:val="21"/>
          <w:szCs w:val="21"/>
          <w:lang w:val="en-GB"/>
        </w:rPr>
      </w:pPr>
    </w:p>
    <w:p>
      <w:pPr>
        <w:rPr>
          <w:rFonts w:hint="eastAsia" w:ascii="宋体" w:hAnsi="宋体" w:eastAsia="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HeitiStd-Regular">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E73F3"/>
    <w:multiLevelType w:val="singleLevel"/>
    <w:tmpl w:val="2B8E73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3C0E0594"/>
    <w:rsid w:val="03F3632F"/>
    <w:rsid w:val="0634691C"/>
    <w:rsid w:val="0F283465"/>
    <w:rsid w:val="148E302E"/>
    <w:rsid w:val="26F107A4"/>
    <w:rsid w:val="393361EC"/>
    <w:rsid w:val="3B066793"/>
    <w:rsid w:val="3C0E0594"/>
    <w:rsid w:val="52ED67DE"/>
    <w:rsid w:val="540A0D6B"/>
    <w:rsid w:val="60B9366E"/>
    <w:rsid w:val="78200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a style17"/>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2021-10-18T08:05:00Z</dcterms:created>
  <dc:creator>H姐姐</dc:creator>
  <cp:lastModifiedBy>育华教育玉环客服</cp:lastModifiedBy>
  <dcterms:modified xsi:type="dcterms:W3CDTF">2022-11-30T03:09:56Z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CE02386D83B84262948BB01AB5B03D26</vt:lpwstr>
  </property>
</Properties>
</file>