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numPr>
          <w:numId w:val="0"/>
        </w:numPr>
        <w:kinsoku/>
        <w:overflowPunct/>
        <w:topLinePunct w:val="0"/>
        <w:autoSpaceDE/>
        <w:autoSpaceDN/>
        <w:bidi w:val="0"/>
        <w:snapToGrid/>
        <w:spacing w:before="157" w:beforeLines="50" w:beforeAutospacing="0" w:after="157" w:afterLines="50" w:afterAutospacing="0" w:line="20" w:lineRule="atLeast"/>
        <w:jc w:val="center"/>
        <w:textAlignment w:val="auto"/>
        <w:rPr>
          <w:rFonts w:hint="eastAsia" w:ascii="宋体" w:hAnsi="宋体" w:eastAsia="宋体" w:cs="宋体"/>
          <w:b/>
          <w:kern w:val="0"/>
          <w:sz w:val="21"/>
          <w:szCs w:val="21"/>
        </w:rPr>
      </w:pPr>
      <w:r>
        <w:rPr>
          <w:rFonts w:hint="eastAsia" w:ascii="宋体" w:hAnsi="宋体" w:cs="宋体"/>
          <w:b/>
          <w:kern w:val="0"/>
          <w:sz w:val="21"/>
          <w:szCs w:val="21"/>
          <w:lang w:eastAsia="zh-CN"/>
        </w:rPr>
        <w:t>民事诉讼法复习资料</w:t>
      </w:r>
    </w:p>
    <w:p>
      <w:pPr>
        <w:keepNext w:val="0"/>
        <w:keepLines w:val="0"/>
        <w:pageBreakBefore w:val="0"/>
        <w:widowControl/>
        <w:numPr>
          <w:ilvl w:val="0"/>
          <w:numId w:val="1"/>
        </w:numPr>
        <w:kinsoku/>
        <w:overflowPunct/>
        <w:topLinePunct w:val="0"/>
        <w:autoSpaceDE/>
        <w:autoSpaceDN/>
        <w:bidi w:val="0"/>
        <w:snapToGrid/>
        <w:spacing w:before="157" w:beforeLines="50" w:beforeAutospacing="0" w:after="157" w:afterLines="50" w:afterAutospacing="0" w:line="20" w:lineRule="atLeast"/>
        <w:ind w:leftChars="0"/>
        <w:jc w:val="left"/>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名词解释</w:t>
      </w:r>
    </w:p>
    <w:p>
      <w:pPr>
        <w:keepNext w:val="0"/>
        <w:keepLines w:val="0"/>
        <w:pageBreakBefore w:val="0"/>
        <w:widowControl/>
        <w:numPr>
          <w:ilvl w:val="0"/>
          <w:numId w:val="0"/>
        </w:numPr>
        <w:kinsoku/>
        <w:overflowPunct/>
        <w:topLinePunct w:val="0"/>
        <w:autoSpaceDE/>
        <w:autoSpaceDN/>
        <w:bidi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民事程序法</w:t>
      </w:r>
    </w:p>
    <w:p>
      <w:pPr>
        <w:keepNext w:val="0"/>
        <w:keepLines w:val="0"/>
        <w:pageBreakBefore w:val="0"/>
        <w:widowControl/>
        <w:numPr>
          <w:ilvl w:val="0"/>
          <w:numId w:val="0"/>
        </w:numPr>
        <w:kinsoku/>
        <w:overflowPunct/>
        <w:topLinePunct w:val="0"/>
        <w:autoSpaceDE/>
        <w:autoSpaceDN/>
        <w:bidi w:val="0"/>
        <w:snapToGrid/>
        <w:spacing w:before="157" w:beforeLines="50" w:beforeAutospacing="0" w:after="157" w:afterLines="50" w:afterAutospacing="0" w:line="20" w:lineRule="atLeast"/>
        <w:ind w:leftChars="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既判力　　</w:t>
      </w:r>
    </w:p>
    <w:p>
      <w:pPr>
        <w:keepNext w:val="0"/>
        <w:keepLines w:val="0"/>
        <w:pageBreakBefore w:val="0"/>
        <w:widowControl/>
        <w:numPr>
          <w:ilvl w:val="0"/>
          <w:numId w:val="0"/>
        </w:numPr>
        <w:kinsoku/>
        <w:overflowPunct/>
        <w:topLinePunct w:val="0"/>
        <w:autoSpaceDE/>
        <w:autoSpaceDN/>
        <w:bidi w:val="0"/>
        <w:snapToGrid/>
        <w:spacing w:before="157" w:beforeLines="50" w:beforeAutospacing="0" w:after="157" w:afterLines="50" w:afterAutospacing="0" w:line="20" w:lineRule="atLeast"/>
        <w:ind w:leftChars="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3.民事案件的管辖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4.原告　</w:t>
      </w:r>
    </w:p>
    <w:p>
      <w:pPr>
        <w:keepNext w:val="0"/>
        <w:keepLines w:val="0"/>
        <w:pageBreakBefore w:val="0"/>
        <w:widowControl/>
        <w:kinsoku/>
        <w:overflowPunct/>
        <w:topLinePunct w:val="0"/>
        <w:autoSpaceDE/>
        <w:autoSpaceDN/>
        <w:bidi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5.证明责任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二、单项选择题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1.民事诉讼法规定，人民法院审理民事案件，依照法律规定实行(    )。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 一审终审制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B.二审终审制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 三审终审制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D.复审制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 民事诉讼法》第14条规定:(    )有权对民事审判活动实行法律监督。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 人民法院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B.人民检察院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 公民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D.党组织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3. 《民事诉讼法》第6条规定:当事人因不可抗力的事由或者其他正当理由耽误期限的，在障碍消除后的(    )内，可以申请顺延期限，是否准许，由人民法院决定。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A</w:t>
      </w:r>
      <w:r>
        <w:rPr>
          <w:rFonts w:hint="eastAsia" w:ascii="宋体" w:hAnsi="宋体" w:eastAsia="宋体" w:cs="宋体"/>
          <w:kern w:val="0"/>
          <w:sz w:val="21"/>
          <w:szCs w:val="21"/>
        </w:rPr>
        <w:t xml:space="preserve">.3日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B. 5日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 7日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D.1 0日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4.人民法院进行调解，可以由(   )主持。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 审判员 一 人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B.审判员二人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C .陪审员二人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D.陪审员三人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5.公证债权文书确有错误的，人民法院裁定(   )，并将裁定书送达双方当事人和公证机关。　A.暂不执行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B.不予执行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C.当事人提供担保后执行</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D.向上级人民法院申请执行　　</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rPr>
        <w:t>甲与乙系夫妻关系，四年前乙下落不明。甲提起离婚之诉。对于该起诉，法院应如何处理？</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A.法院应不予受理，并告知甲应当依照特别程序申请宣告乙死亡</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B.法院应不予受理，并告知甲应先依照特别程序申请宣告乙为失踪人</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C.法院应当受理，但在受理后应当裁定中止诉讼，并依照特别程序认定乙为失踪人后，再对离婚之诉作出判决</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D.法院应当受理，并向乙公告送达有关的诉讼文书</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高级人民法院管辖的(</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)第一审民事案件。</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A.重大涉外的</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B.在本辖区有重大影响的</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C.认为应当由本院审理的</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D.最高人民法院确定由高级人民法院管辖的</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rPr>
        <w:t>甲养的宠物狗将乙咬伤，乙起诉甲请求损害赔偿。诉讼过程中，甲认为乙被咬伤是因为乙故意逗狗造成的。关于本案中举证责任的分配，下列哪一选项是正确的？</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A.甲应当就乙受损害与自己的宠物狗没有因果关系进行举证</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B.甲应当对乙故意逗狗而遭狗咬伤的事实负举证责任</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C.乙应当就自己没有逗狗的故意负举证责任</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D.乙应当就自己受到甲的宠物狗伤害以及自己没有逗狗的故意负举证责任</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当事人收到中止或终结执行的裁定后(</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A.可以上诉</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B.可以申诉</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C.可以申请复议一次</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D.立即生效</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10.</w:t>
      </w:r>
      <w:r>
        <w:rPr>
          <w:rFonts w:hint="eastAsia" w:ascii="宋体" w:hAnsi="宋体" w:eastAsia="宋体" w:cs="宋体"/>
          <w:sz w:val="21"/>
          <w:szCs w:val="21"/>
        </w:rPr>
        <w:t>甲的汇票遗失，向法院申请公示催告。公告期满后无人申报权利，甲申请法院作出了除权判决。后乙主张对该票据享有票据权利，只是因为客观原因而没能在判决前向法院申报权利。乙可以采取哪种法律对策？</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A.申请法院撤销该除权判决</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B.在知道或者应当知道判决公告之日起一年内，向作出除权判决的法院起诉</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C.依照审判监督程序的规定，申请法院对该案件进行再审</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D.在2年的诉讼时效期间之内，向作出除权判决的法院起诉</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三、多项选择题</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 当事人主义诉讼模式主要具有的优点有(    )。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 当事人诉讼权利大，法官职权小，法官职权受当事人诉讼权力的制约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B. 当事人是形成判决的主体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 程序公正才是反映司法活动规律和内在要求的价值目标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D. 法官具有良好的素质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 人民法院审理民事案件，应当根据( )和( )的原则进行调解;调解不成的，应当及时判决。(     )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A.合理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B.及时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C.自愿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D.合法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3.法律规定不公开审理或者可以不公开审理的案件主要有(    )。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涉及国家秘密的案件</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B.涉及个人隐私的案件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 xml:space="preserve">离婚案件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D.涉及商业秘密的案件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4.人民法院确认为无主财产的，可以判决收归(        )所有。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 申请人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B.利害关系人　　C. 国家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D.集体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5. 被执行人不履行法律文书确定的义务，并隐匿财产的，人民法院有权发出搜查令，对(      )进行搜查。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A.财产所在地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C.被执行人住所地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B.被执行人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D.财产隐匿地　</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kern w:val="0"/>
          <w:sz w:val="21"/>
          <w:szCs w:val="21"/>
          <w:lang w:val="en-US" w:eastAsia="zh-CN"/>
        </w:rPr>
        <w:t>6.</w:t>
      </w:r>
      <w:r>
        <w:rPr>
          <w:rStyle w:val="6"/>
          <w:rFonts w:hint="eastAsia" w:ascii="宋体" w:hAnsi="宋体" w:eastAsia="宋体" w:cs="宋体"/>
          <w:sz w:val="21"/>
          <w:szCs w:val="21"/>
        </w:rPr>
        <w:t>根据《民事诉讼法》的规定，中级人民法院管辖下列哪些案件？</w:t>
      </w:r>
      <w:r>
        <w:rPr>
          <w:rStyle w:val="6"/>
          <w:rFonts w:hint="eastAsia" w:ascii="宋体" w:hAnsi="宋体" w:eastAsia="宋体" w:cs="宋体"/>
          <w:sz w:val="21"/>
          <w:szCs w:val="21"/>
          <w:lang w:eastAsia="zh-CN"/>
        </w:rPr>
        <w:t>（</w:t>
      </w:r>
      <w:r>
        <w:rPr>
          <w:rStyle w:val="6"/>
          <w:rFonts w:hint="eastAsia" w:ascii="宋体" w:hAnsi="宋体" w:eastAsia="宋体" w:cs="宋体"/>
          <w:sz w:val="21"/>
          <w:szCs w:val="21"/>
          <w:lang w:val="en-US" w:eastAsia="zh-CN"/>
        </w:rPr>
        <w:t xml:space="preserve">     </w:t>
      </w:r>
      <w:r>
        <w:rPr>
          <w:rStyle w:val="6"/>
          <w:rFonts w:hint="eastAsia" w:ascii="宋体" w:hAnsi="宋体" w:eastAsia="宋体" w:cs="宋体"/>
          <w:sz w:val="21"/>
          <w:szCs w:val="21"/>
          <w:lang w:eastAsia="zh-CN"/>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Style w:val="6"/>
          <w:rFonts w:hint="eastAsia" w:ascii="宋体" w:hAnsi="宋体" w:eastAsia="宋体" w:cs="宋体"/>
          <w:sz w:val="21"/>
          <w:szCs w:val="21"/>
        </w:rPr>
      </w:pPr>
      <w:r>
        <w:rPr>
          <w:rStyle w:val="6"/>
          <w:rFonts w:hint="eastAsia" w:ascii="宋体" w:hAnsi="宋体" w:eastAsia="宋体" w:cs="宋体"/>
          <w:sz w:val="21"/>
          <w:szCs w:val="21"/>
        </w:rPr>
        <w:t>A.涉外民事案件</w:t>
      </w:r>
      <w:r>
        <w:rPr>
          <w:rStyle w:val="6"/>
          <w:rFonts w:hint="eastAsia" w:ascii="宋体" w:hAnsi="宋体" w:eastAsia="宋体" w:cs="宋体"/>
          <w:sz w:val="21"/>
          <w:szCs w:val="21"/>
          <w:lang w:val="en-US" w:eastAsia="zh-CN"/>
        </w:rPr>
        <w:t xml:space="preserve">                      </w:t>
      </w:r>
      <w:r>
        <w:rPr>
          <w:rStyle w:val="6"/>
          <w:rFonts w:hint="eastAsia" w:ascii="宋体" w:hAnsi="宋体" w:eastAsia="宋体" w:cs="宋体"/>
          <w:sz w:val="21"/>
          <w:szCs w:val="21"/>
        </w:rPr>
        <w:t>B.重大涉外案件</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Style w:val="6"/>
          <w:rFonts w:hint="eastAsia" w:ascii="宋体" w:hAnsi="宋体" w:eastAsia="宋体" w:cs="宋体"/>
          <w:sz w:val="21"/>
          <w:szCs w:val="21"/>
        </w:rPr>
      </w:pPr>
      <w:r>
        <w:rPr>
          <w:rStyle w:val="6"/>
          <w:rFonts w:hint="eastAsia" w:ascii="宋体" w:hAnsi="宋体" w:eastAsia="宋体" w:cs="宋体"/>
          <w:sz w:val="21"/>
          <w:szCs w:val="21"/>
        </w:rPr>
        <w:t>C.在本辖区有重大影响的案件</w:t>
      </w:r>
      <w:r>
        <w:rPr>
          <w:rStyle w:val="6"/>
          <w:rFonts w:hint="eastAsia" w:ascii="宋体" w:hAnsi="宋体" w:eastAsia="宋体" w:cs="宋体"/>
          <w:sz w:val="21"/>
          <w:szCs w:val="21"/>
          <w:lang w:val="en-US" w:eastAsia="zh-CN"/>
        </w:rPr>
        <w:t xml:space="preserve">          </w:t>
      </w:r>
      <w:r>
        <w:rPr>
          <w:rStyle w:val="6"/>
          <w:rFonts w:hint="eastAsia" w:ascii="宋体" w:hAnsi="宋体" w:eastAsia="宋体" w:cs="宋体"/>
          <w:sz w:val="21"/>
          <w:szCs w:val="21"/>
        </w:rPr>
        <w:t>D.最高人民法院确定由中级人民法院管辖的案件</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kern w:val="0"/>
          <w:sz w:val="21"/>
          <w:szCs w:val="21"/>
          <w:lang w:val="en-US" w:eastAsia="zh-CN"/>
        </w:rPr>
        <w:t>7.</w:t>
      </w:r>
      <w:r>
        <w:rPr>
          <w:rStyle w:val="6"/>
          <w:rFonts w:hint="eastAsia" w:ascii="宋体" w:hAnsi="宋体" w:eastAsia="宋体" w:cs="宋体"/>
          <w:sz w:val="21"/>
          <w:szCs w:val="21"/>
        </w:rPr>
        <w:t>在涉外仲裁中，当事人申请采取财产保全的，中华人民共和国的涉外仲裁机构应当将当事人的申请提交下列哪些法院？</w:t>
      </w:r>
      <w:r>
        <w:rPr>
          <w:rStyle w:val="6"/>
          <w:rFonts w:hint="eastAsia" w:ascii="宋体" w:hAnsi="宋体" w:eastAsia="宋体" w:cs="宋体"/>
          <w:sz w:val="21"/>
          <w:szCs w:val="21"/>
          <w:lang w:eastAsia="zh-CN"/>
        </w:rPr>
        <w:t>（</w:t>
      </w:r>
      <w:r>
        <w:rPr>
          <w:rStyle w:val="6"/>
          <w:rFonts w:hint="eastAsia" w:ascii="宋体" w:hAnsi="宋体" w:eastAsia="宋体" w:cs="宋体"/>
          <w:sz w:val="21"/>
          <w:szCs w:val="21"/>
          <w:lang w:val="en-US" w:eastAsia="zh-CN"/>
        </w:rPr>
        <w:t xml:space="preserve">      </w:t>
      </w:r>
      <w:r>
        <w:rPr>
          <w:rStyle w:val="6"/>
          <w:rFonts w:hint="eastAsia" w:ascii="宋体" w:hAnsi="宋体" w:eastAsia="宋体" w:cs="宋体"/>
          <w:sz w:val="21"/>
          <w:szCs w:val="21"/>
          <w:lang w:eastAsia="zh-CN"/>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Style w:val="6"/>
          <w:rFonts w:hint="eastAsia" w:ascii="宋体" w:hAnsi="宋体" w:eastAsia="宋体" w:cs="宋体"/>
          <w:sz w:val="21"/>
          <w:szCs w:val="21"/>
        </w:rPr>
      </w:pPr>
      <w:r>
        <w:rPr>
          <w:rStyle w:val="6"/>
          <w:rFonts w:hint="eastAsia" w:ascii="宋体" w:hAnsi="宋体" w:eastAsia="宋体" w:cs="宋体"/>
          <w:sz w:val="21"/>
          <w:szCs w:val="21"/>
        </w:rPr>
        <w:t>A.被申请人住所地的基层人民法院</w:t>
      </w:r>
      <w:r>
        <w:rPr>
          <w:rStyle w:val="6"/>
          <w:rFonts w:hint="eastAsia" w:ascii="宋体" w:hAnsi="宋体" w:eastAsia="宋体" w:cs="宋体"/>
          <w:sz w:val="21"/>
          <w:szCs w:val="21"/>
          <w:lang w:val="en-US" w:eastAsia="zh-CN"/>
        </w:rPr>
        <w:t xml:space="preserve">      </w:t>
      </w:r>
      <w:r>
        <w:rPr>
          <w:rStyle w:val="6"/>
          <w:rFonts w:hint="eastAsia" w:ascii="宋体" w:hAnsi="宋体" w:eastAsia="宋体" w:cs="宋体"/>
          <w:sz w:val="21"/>
          <w:szCs w:val="21"/>
        </w:rPr>
        <w:t>B.被申请人住所地的中级人民法院</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Style w:val="6"/>
          <w:rFonts w:hint="eastAsia" w:ascii="宋体" w:hAnsi="宋体" w:eastAsia="宋体" w:cs="宋体"/>
          <w:sz w:val="21"/>
          <w:szCs w:val="21"/>
        </w:rPr>
      </w:pPr>
      <w:r>
        <w:rPr>
          <w:rStyle w:val="6"/>
          <w:rFonts w:hint="eastAsia" w:ascii="宋体" w:hAnsi="宋体" w:eastAsia="宋体" w:cs="宋体"/>
          <w:sz w:val="21"/>
          <w:szCs w:val="21"/>
        </w:rPr>
        <w:t>C.财产所在地的中级人民法院</w:t>
      </w:r>
      <w:r>
        <w:rPr>
          <w:rStyle w:val="6"/>
          <w:rFonts w:hint="eastAsia" w:ascii="宋体" w:hAnsi="宋体" w:eastAsia="宋体" w:cs="宋体"/>
          <w:sz w:val="21"/>
          <w:szCs w:val="21"/>
          <w:lang w:val="en-US" w:eastAsia="zh-CN"/>
        </w:rPr>
        <w:t xml:space="preserve">          </w:t>
      </w:r>
      <w:r>
        <w:rPr>
          <w:rStyle w:val="6"/>
          <w:rFonts w:hint="eastAsia" w:ascii="宋体" w:hAnsi="宋体" w:eastAsia="宋体" w:cs="宋体"/>
          <w:sz w:val="21"/>
          <w:szCs w:val="21"/>
        </w:rPr>
        <w:t>D.该仲裁机构所在地的中级人民法院</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kern w:val="0"/>
          <w:sz w:val="21"/>
          <w:szCs w:val="21"/>
          <w:lang w:val="en-US" w:eastAsia="zh-CN"/>
        </w:rPr>
        <w:t>8.</w:t>
      </w:r>
      <w:r>
        <w:rPr>
          <w:rFonts w:hint="eastAsia" w:ascii="宋体" w:hAnsi="宋体" w:eastAsia="宋体" w:cs="宋体"/>
          <w:sz w:val="21"/>
          <w:szCs w:val="21"/>
        </w:rPr>
        <w:t>下列关于无独立请求权第三人的说法，哪些是正确的？</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A.无独立请求权第三人不无权提起上诉</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B.无独立请求权第三人是否有权上诉取决于法院一审判决是否判决其承担民事责任</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C.无独立请求权第三人参加诉讼的案件，人民法院调解时需要确定无独立请求权的第三人承担义务的，应经第三人的同意，调解书应当同时送达第三人</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D.无独立请求权的第三人无权放弃、变更诉讼请求</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rPr>
        <w:t>9.</w:t>
      </w:r>
      <w:r>
        <w:rPr>
          <w:rFonts w:hint="eastAsia" w:ascii="宋体" w:hAnsi="宋体" w:eastAsia="宋体" w:cs="宋体"/>
          <w:sz w:val="21"/>
          <w:szCs w:val="21"/>
        </w:rPr>
        <w:t>因共同海损提起的诉讼，由(</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)人民法院管辖。</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A.船舶注册地</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B.船舶航程终止地</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C.共同海损理算地</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D.船舶碰撞地</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rPr>
        <w:t>10.</w:t>
      </w:r>
      <w:r>
        <w:rPr>
          <w:rFonts w:hint="eastAsia" w:ascii="宋体" w:hAnsi="宋体" w:eastAsia="宋体" w:cs="宋体"/>
          <w:sz w:val="21"/>
          <w:szCs w:val="21"/>
        </w:rPr>
        <w:t>原告陈某欲向李某提起财产侵害诉讼，2018年12月21日，人民法院应陈某的请求对李某一处房产实行保全，至2019年1月15日陈某仍未起诉，人民法院应当(</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A.令陈某提供担保</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B.解除财产保全措施</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kern w:val="0"/>
          <w:sz w:val="21"/>
          <w:szCs w:val="21"/>
        </w:rPr>
      </w:pPr>
      <w:r>
        <w:rPr>
          <w:rFonts w:hint="eastAsia" w:ascii="宋体" w:hAnsi="宋体" w:eastAsia="宋体" w:cs="宋体"/>
          <w:sz w:val="21"/>
          <w:szCs w:val="21"/>
        </w:rPr>
        <w:t>C.命令陈某起诉</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D.裁定陈某赔偿李某因保全面遭受的损失</w:t>
      </w:r>
      <w:r>
        <w:rPr>
          <w:rFonts w:hint="eastAsia" w:ascii="宋体" w:hAnsi="宋体" w:eastAsia="宋体" w:cs="宋体"/>
          <w:kern w:val="0"/>
          <w:sz w:val="21"/>
          <w:szCs w:val="21"/>
        </w:rPr>
        <w:t>　</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四、判断题</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1.根据民事诉讼法的规定及最高人民法院的司法解释，涉外民事案件由中级人民法院管辖。（</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rPr>
        <w:t>2.</w:t>
      </w:r>
      <w:r>
        <w:rPr>
          <w:rFonts w:hint="eastAsia" w:ascii="宋体" w:hAnsi="宋体" w:eastAsia="宋体" w:cs="宋体"/>
          <w:b w:val="0"/>
          <w:bCs w:val="0"/>
          <w:color w:val="auto"/>
          <w:sz w:val="21"/>
          <w:szCs w:val="21"/>
        </w:rPr>
        <w:t>当事人在依协议方式选择管辖法院时，既可以就合同纠纷案件选择管辖法院，也可以就其他财产权益纠纷案件选择管辖法院。（</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rPr>
        <w:t>3.</w:t>
      </w:r>
      <w:r>
        <w:rPr>
          <w:rFonts w:hint="eastAsia" w:ascii="宋体" w:hAnsi="宋体" w:eastAsia="宋体" w:cs="宋体"/>
          <w:b w:val="0"/>
          <w:bCs w:val="0"/>
          <w:color w:val="auto"/>
          <w:sz w:val="21"/>
          <w:szCs w:val="21"/>
        </w:rPr>
        <w:t>接受移送的人民法院认为本法院没有管辖权的，应当将案件再移送有管辖权的人民法院。（</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rPr>
        <w:t>4.</w:t>
      </w:r>
      <w:r>
        <w:rPr>
          <w:rFonts w:hint="eastAsia" w:ascii="宋体" w:hAnsi="宋体" w:eastAsia="宋体" w:cs="宋体"/>
          <w:b w:val="0"/>
          <w:bCs w:val="0"/>
          <w:color w:val="auto"/>
          <w:sz w:val="21"/>
          <w:szCs w:val="21"/>
        </w:rPr>
        <w:t>公民在户口迁出后迁入另一地之前，与他人发生纠纷引起诉讼的，由经常居住地人民法院管辖。（</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5.</w:t>
      </w:r>
      <w:r>
        <w:rPr>
          <w:rFonts w:hint="eastAsia" w:ascii="宋体" w:hAnsi="宋体" w:eastAsia="宋体" w:cs="宋体"/>
          <w:b w:val="0"/>
          <w:bCs w:val="0"/>
          <w:color w:val="auto"/>
          <w:sz w:val="21"/>
          <w:szCs w:val="21"/>
        </w:rPr>
        <w:t>作为民事诉讼的当事人，既要有诉讼权利能力，又要有诉讼行为能力。（</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6.</w:t>
      </w:r>
      <w:r>
        <w:rPr>
          <w:rFonts w:hint="eastAsia" w:ascii="宋体" w:hAnsi="宋体" w:eastAsia="宋体" w:cs="宋体"/>
          <w:b w:val="0"/>
          <w:bCs w:val="0"/>
          <w:color w:val="auto"/>
          <w:sz w:val="21"/>
          <w:szCs w:val="21"/>
        </w:rPr>
        <w:t>无独立请求权的第三人与有独立请求权的第三人在诉讼中的地位是完全相同的。（</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7.</w:t>
      </w:r>
      <w:r>
        <w:rPr>
          <w:rFonts w:hint="eastAsia" w:ascii="宋体" w:hAnsi="宋体" w:eastAsia="宋体" w:cs="宋体"/>
          <w:b w:val="0"/>
          <w:bCs w:val="0"/>
          <w:color w:val="auto"/>
          <w:sz w:val="21"/>
          <w:szCs w:val="21"/>
        </w:rPr>
        <w:t>无论是必要的共同诉讼还是普通的共同诉讼，人民法院都必须合并审理。（</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8.</w:t>
      </w:r>
      <w:r>
        <w:rPr>
          <w:rFonts w:hint="eastAsia" w:ascii="宋体" w:hAnsi="宋体" w:eastAsia="宋体" w:cs="宋体"/>
          <w:b w:val="0"/>
          <w:bCs w:val="0"/>
          <w:color w:val="auto"/>
          <w:sz w:val="21"/>
          <w:szCs w:val="21"/>
        </w:rPr>
        <w:t>诉讼代表人在诉讼过程中的一切诉讼行为对其所代表的当事人均有约束力。（</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9.</w:t>
      </w:r>
      <w:r>
        <w:rPr>
          <w:rFonts w:hint="eastAsia" w:ascii="宋体" w:hAnsi="宋体" w:eastAsia="宋体" w:cs="宋体"/>
          <w:b w:val="0"/>
          <w:bCs w:val="0"/>
          <w:color w:val="auto"/>
          <w:sz w:val="21"/>
          <w:szCs w:val="21"/>
        </w:rPr>
        <w:t>由于送达的主体只能是人民法院，因此，委托送达只能委托异地人民法院，不能委托其他机关。（</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kinsoku/>
        <w:overflowPunct/>
        <w:topLinePunct w:val="0"/>
        <w:autoSpaceDE/>
        <w:autoSpaceDN/>
        <w:bidi w:val="0"/>
        <w:snapToGrid/>
        <w:spacing w:before="157" w:beforeLines="50" w:after="157" w:afterLines="50" w:line="20" w:lineRule="atLeas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10.</w:t>
      </w:r>
      <w:r>
        <w:rPr>
          <w:rFonts w:hint="eastAsia" w:ascii="宋体" w:hAnsi="宋体" w:eastAsia="宋体" w:cs="宋体"/>
          <w:b w:val="0"/>
          <w:bCs w:val="0"/>
          <w:color w:val="auto"/>
          <w:sz w:val="21"/>
          <w:szCs w:val="21"/>
        </w:rPr>
        <w:t>法院调解是离婚案件的必经程序。（</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ascii="宋体" w:hAnsi="宋体" w:cs="宋体"/>
          <w:b/>
          <w:kern w:val="0"/>
          <w:szCs w:val="21"/>
        </w:rPr>
      </w:pPr>
      <w:r>
        <w:rPr>
          <w:rFonts w:hint="eastAsia" w:ascii="宋体" w:hAnsi="宋体" w:cs="AdobeHeitiStd-Regular"/>
          <w:b/>
          <w:kern w:val="0"/>
          <w:szCs w:val="21"/>
        </w:rPr>
        <w:t>四、简答题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hint="eastAsia" w:ascii="宋体" w:hAnsi="宋体" w:cs="AdobeHeitiStd-Regular"/>
          <w:kern w:val="0"/>
          <w:szCs w:val="21"/>
        </w:rPr>
      </w:pPr>
      <w:r>
        <w:rPr>
          <w:rFonts w:hint="eastAsia" w:ascii="宋体" w:hAnsi="宋体" w:cs="AdobeHeitiStd-Regular"/>
          <w:kern w:val="0"/>
          <w:szCs w:val="21"/>
        </w:rPr>
        <w:t>1.民事诉讼法与行政诉讼法的区别。　</w:t>
      </w:r>
    </w:p>
    <w:p>
      <w:pPr>
        <w:keepNext w:val="0"/>
        <w:keepLines w:val="0"/>
        <w:pageBreakBefore w:val="0"/>
        <w:widowControl/>
        <w:kinsoku/>
        <w:wordWrap w:val="0"/>
        <w:overflowPunct/>
        <w:topLinePunct w:val="0"/>
        <w:autoSpaceDE/>
        <w:autoSpaceDN/>
        <w:bidi w:val="0"/>
        <w:adjustRightInd w:val="0"/>
        <w:snapToGrid/>
        <w:spacing w:before="157" w:beforeLines="50" w:beforeAutospacing="0" w:after="157" w:afterLines="50" w:afterAutospacing="0" w:line="20" w:lineRule="atLeast"/>
        <w:jc w:val="left"/>
        <w:textAlignment w:val="auto"/>
        <w:rPr>
          <w:rFonts w:ascii="宋体" w:hAnsi="宋体" w:cs="宋体"/>
          <w:kern w:val="0"/>
          <w:szCs w:val="21"/>
        </w:rPr>
      </w:pPr>
      <w:r>
        <w:rPr>
          <w:rFonts w:hint="eastAsia" w:ascii="宋体" w:hAnsi="宋体" w:cs="AdobeHeitiStd-Regular"/>
          <w:kern w:val="0"/>
          <w:szCs w:val="21"/>
        </w:rPr>
        <w:t>2.简述人民法院提起审判监督程序的三种情况。　　</w:t>
      </w:r>
    </w:p>
    <w:p>
      <w:pPr>
        <w:keepNext w:val="0"/>
        <w:keepLines w:val="0"/>
        <w:pageBreakBefore w:val="0"/>
        <w:widowControl/>
        <w:kinsoku/>
        <w:overflowPunct/>
        <w:topLinePunct w:val="0"/>
        <w:autoSpaceDE/>
        <w:autoSpaceDN/>
        <w:bidi w:val="0"/>
        <w:snapToGrid/>
        <w:spacing w:before="157" w:beforeLines="50" w:beforeAutospacing="0" w:after="157" w:afterLines="50" w:afterAutospacing="0" w:line="20" w:lineRule="atLeast"/>
        <w:jc w:val="left"/>
        <w:textAlignment w:val="auto"/>
        <w:rPr>
          <w:rFonts w:hint="eastAsia" w:ascii="宋体" w:hAnsi="宋体" w:cs="宋体"/>
          <w:b/>
          <w:kern w:val="0"/>
          <w:szCs w:val="21"/>
        </w:rPr>
      </w:pP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b w:val="0"/>
          <w:bCs w:val="0"/>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val="0"/>
        <w:adjustRightInd w:val="0"/>
        <w:jc w:val="left"/>
        <w:rPr>
          <w:rFonts w:hint="eastAsia" w:ascii="宋体" w:hAnsi="宋体" w:cs="AdobeHeitiStd-Regular"/>
          <w:b/>
          <w:kern w:val="0"/>
          <w:sz w:val="18"/>
          <w:szCs w:val="18"/>
        </w:rPr>
      </w:pPr>
    </w:p>
    <w:p>
      <w:pPr>
        <w:widowControl/>
        <w:wordWrap/>
        <w:adjustRightInd w:val="0"/>
        <w:jc w:val="center"/>
        <w:rPr>
          <w:rFonts w:ascii="宋体" w:hAnsi="宋体" w:cs="宋体"/>
          <w:kern w:val="0"/>
          <w:sz w:val="18"/>
          <w:szCs w:val="18"/>
        </w:rPr>
      </w:pPr>
      <w:bookmarkStart w:id="0" w:name="_GoBack"/>
      <w:r>
        <w:rPr>
          <w:rFonts w:hint="eastAsia" w:ascii="宋体" w:hAnsi="宋体" w:cs="AdobeHeitiStd-Regular"/>
          <w:b/>
          <w:kern w:val="0"/>
          <w:sz w:val="18"/>
          <w:szCs w:val="18"/>
        </w:rPr>
        <w:t>民事诉讼法复习资料</w:t>
      </w:r>
      <w:r>
        <w:rPr>
          <w:rFonts w:hint="eastAsia" w:ascii="宋体" w:hAnsi="宋体" w:cs="AdobeHeitiStd-Regular"/>
          <w:b/>
          <w:kern w:val="0"/>
          <w:sz w:val="18"/>
          <w:szCs w:val="18"/>
          <w:lang w:eastAsia="zh-CN"/>
        </w:rPr>
        <w:t>参考资料</w:t>
      </w:r>
      <w:r>
        <w:rPr>
          <w:rFonts w:hint="eastAsia" w:ascii="宋体" w:hAnsi="宋体" w:cs="AdobeHeitiStd-Regular"/>
          <w:b/>
          <w:kern w:val="0"/>
          <w:sz w:val="18"/>
          <w:szCs w:val="18"/>
        </w:rPr>
        <w:t>：</w:t>
      </w:r>
      <w:bookmarkEnd w:id="0"/>
    </w:p>
    <w:p>
      <w:pPr>
        <w:widowControl/>
        <w:wordWrap w:val="0"/>
        <w:jc w:val="left"/>
        <w:rPr>
          <w:rFonts w:hint="eastAsia" w:ascii="宋体" w:hAnsi="宋体" w:cs="宋体"/>
          <w:kern w:val="0"/>
          <w:sz w:val="18"/>
          <w:szCs w:val="18"/>
        </w:rPr>
      </w:pPr>
      <w:r>
        <w:rPr>
          <w:rFonts w:hint="eastAsia" w:cs="宋体"/>
          <w:kern w:val="0"/>
          <w:sz w:val="18"/>
          <w:szCs w:val="18"/>
        </w:rPr>
        <w:t>一、名词解释</w:t>
      </w:r>
    </w:p>
    <w:p>
      <w:pPr>
        <w:widowControl/>
        <w:wordWrap w:val="0"/>
        <w:jc w:val="left"/>
        <w:rPr>
          <w:rFonts w:ascii="宋体" w:hAnsi="宋体" w:cs="宋体"/>
          <w:kern w:val="0"/>
          <w:sz w:val="18"/>
          <w:szCs w:val="18"/>
        </w:rPr>
      </w:pPr>
      <w:r>
        <w:rPr>
          <w:rFonts w:ascii="宋体" w:hAnsi="宋体" w:cs="宋体"/>
          <w:kern w:val="0"/>
          <w:sz w:val="18"/>
          <w:szCs w:val="18"/>
        </w:rPr>
        <w:t xml:space="preserve">1. </w:t>
      </w:r>
      <w:r>
        <w:rPr>
          <w:rFonts w:hint="eastAsia" w:cs="宋体"/>
          <w:kern w:val="0"/>
          <w:sz w:val="18"/>
          <w:szCs w:val="18"/>
        </w:rPr>
        <w:t>民事程序法是国家权力机关制定的预防和解决民事纠纷适用的方法性法律，是由诸多法律组成的法律体系。</w:t>
      </w:r>
    </w:p>
    <w:p>
      <w:pPr>
        <w:widowControl/>
        <w:wordWrap w:val="0"/>
        <w:jc w:val="left"/>
        <w:rPr>
          <w:rFonts w:ascii="宋体" w:hAnsi="宋体" w:cs="宋体"/>
          <w:kern w:val="0"/>
          <w:sz w:val="18"/>
          <w:szCs w:val="18"/>
        </w:rPr>
      </w:pPr>
      <w:r>
        <w:rPr>
          <w:rFonts w:ascii="宋体" w:hAnsi="宋体" w:cs="宋体"/>
          <w:kern w:val="0"/>
          <w:sz w:val="18"/>
          <w:szCs w:val="18"/>
        </w:rPr>
        <w:t>2.</w:t>
      </w:r>
    </w:p>
    <w:p>
      <w:pPr>
        <w:widowControl/>
        <w:wordWrap w:val="0"/>
        <w:jc w:val="left"/>
        <w:rPr>
          <w:rFonts w:ascii="宋体" w:hAnsi="宋体" w:cs="宋体"/>
          <w:kern w:val="0"/>
          <w:sz w:val="18"/>
          <w:szCs w:val="18"/>
        </w:rPr>
      </w:pPr>
      <w:r>
        <w:rPr>
          <w:rFonts w:ascii="宋体" w:hAnsi="宋体" w:cs="宋体"/>
          <w:kern w:val="0"/>
          <w:sz w:val="18"/>
          <w:szCs w:val="18"/>
        </w:rPr>
        <w:t xml:space="preserve">3. </w:t>
      </w:r>
      <w:r>
        <w:rPr>
          <w:rFonts w:hint="eastAsia" w:cs="宋体"/>
          <w:kern w:val="0"/>
          <w:sz w:val="18"/>
          <w:szCs w:val="18"/>
        </w:rPr>
        <w:t>民事案件的管辖，是指各级人民法院之间以及同级人民法院之间，受理第一审民事案件的分工和权限。</w:t>
      </w:r>
    </w:p>
    <w:p>
      <w:pPr>
        <w:widowControl/>
        <w:wordWrap w:val="0"/>
        <w:jc w:val="left"/>
        <w:rPr>
          <w:rFonts w:ascii="宋体" w:hAnsi="宋体" w:cs="宋体"/>
          <w:kern w:val="0"/>
          <w:sz w:val="18"/>
          <w:szCs w:val="18"/>
        </w:rPr>
      </w:pPr>
      <w:r>
        <w:rPr>
          <w:rFonts w:ascii="宋体" w:hAnsi="宋体" w:cs="宋体"/>
          <w:kern w:val="0"/>
          <w:sz w:val="18"/>
          <w:szCs w:val="18"/>
        </w:rPr>
        <w:t xml:space="preserve">4. </w:t>
      </w:r>
      <w:r>
        <w:rPr>
          <w:rFonts w:hint="eastAsia" w:cs="宋体"/>
          <w:kern w:val="0"/>
          <w:sz w:val="18"/>
          <w:szCs w:val="18"/>
        </w:rPr>
        <w:t>原告，是指因民事使权利义务发生争议，以自己的名义向人民法院提起民事诉讼，并引起诉讼程序发生的人。</w:t>
      </w:r>
    </w:p>
    <w:p>
      <w:pPr>
        <w:widowControl/>
        <w:wordWrap w:val="0"/>
        <w:jc w:val="left"/>
        <w:rPr>
          <w:rFonts w:ascii="宋体" w:hAnsi="宋体" w:cs="宋体"/>
          <w:kern w:val="0"/>
          <w:sz w:val="18"/>
          <w:szCs w:val="18"/>
        </w:rPr>
      </w:pPr>
      <w:r>
        <w:rPr>
          <w:rFonts w:ascii="宋体" w:hAnsi="宋体" w:cs="宋体"/>
          <w:kern w:val="0"/>
          <w:sz w:val="18"/>
          <w:szCs w:val="18"/>
        </w:rPr>
        <w:t>5.</w:t>
      </w:r>
    </w:p>
    <w:p>
      <w:pPr>
        <w:widowControl/>
        <w:wordWrap w:val="0"/>
        <w:jc w:val="left"/>
        <w:rPr>
          <w:rFonts w:ascii="宋体" w:hAnsi="宋体" w:cs="宋体"/>
          <w:kern w:val="0"/>
          <w:sz w:val="18"/>
          <w:szCs w:val="18"/>
        </w:rPr>
      </w:pPr>
      <w:r>
        <w:rPr>
          <w:rFonts w:ascii="宋体" w:hAnsi="宋体" w:cs="宋体"/>
          <w:kern w:val="0"/>
          <w:sz w:val="18"/>
          <w:szCs w:val="18"/>
        </w:rPr>
        <w:t>　 　</w:t>
      </w:r>
    </w:p>
    <w:p>
      <w:pPr>
        <w:widowControl/>
        <w:wordWrap w:val="0"/>
        <w:jc w:val="left"/>
        <w:rPr>
          <w:rFonts w:ascii="宋体" w:hAnsi="宋体" w:cs="宋体"/>
          <w:kern w:val="0"/>
          <w:sz w:val="18"/>
          <w:szCs w:val="18"/>
        </w:rPr>
      </w:pPr>
      <w:r>
        <w:rPr>
          <w:rFonts w:hint="eastAsia" w:cs="宋体"/>
          <w:kern w:val="0"/>
          <w:sz w:val="18"/>
          <w:szCs w:val="18"/>
        </w:rPr>
        <w:t>二、单项选择题</w:t>
      </w:r>
      <w:r>
        <w:rPr>
          <w:rFonts w:ascii="宋体" w:hAnsi="宋体" w:cs="宋体"/>
          <w:kern w:val="0"/>
          <w:sz w:val="18"/>
          <w:szCs w:val="18"/>
        </w:rPr>
        <w:t>　 　</w:t>
      </w:r>
    </w:p>
    <w:p>
      <w:pPr>
        <w:widowControl/>
        <w:wordWrap w:val="0"/>
        <w:jc w:val="left"/>
        <w:rPr>
          <w:rFonts w:hint="default" w:ascii="宋体" w:hAnsi="宋体" w:eastAsia="宋体" w:cs="宋体"/>
          <w:kern w:val="0"/>
          <w:sz w:val="18"/>
          <w:szCs w:val="18"/>
          <w:lang w:val="en-US" w:eastAsia="zh-CN"/>
        </w:rPr>
      </w:pPr>
      <w:r>
        <w:rPr>
          <w:rFonts w:ascii="宋体" w:hAnsi="宋体" w:cs="宋体"/>
          <w:kern w:val="0"/>
          <w:sz w:val="18"/>
          <w:szCs w:val="18"/>
        </w:rPr>
        <w:t>1. B  2. B  3.   4. A  5. B</w:t>
      </w:r>
      <w:r>
        <w:rPr>
          <w:rFonts w:hint="eastAsia" w:ascii="宋体" w:hAnsi="宋体" w:cs="宋体"/>
          <w:kern w:val="0"/>
          <w:sz w:val="18"/>
          <w:szCs w:val="18"/>
          <w:lang w:val="en-US" w:eastAsia="zh-CN"/>
        </w:rPr>
        <w:t xml:space="preserve">   6.C   7.B    8.A    9.   10. C</w:t>
      </w:r>
    </w:p>
    <w:p>
      <w:pPr>
        <w:widowControl/>
        <w:wordWrap w:val="0"/>
        <w:jc w:val="left"/>
        <w:rPr>
          <w:rFonts w:ascii="宋体" w:hAnsi="宋体" w:cs="宋体"/>
          <w:kern w:val="0"/>
          <w:sz w:val="18"/>
          <w:szCs w:val="18"/>
        </w:rPr>
      </w:pPr>
      <w:r>
        <w:rPr>
          <w:rFonts w:ascii="宋体" w:hAnsi="宋体" w:cs="宋体"/>
          <w:kern w:val="0"/>
          <w:sz w:val="18"/>
          <w:szCs w:val="18"/>
        </w:rPr>
        <w:t>　 　</w:t>
      </w:r>
    </w:p>
    <w:p>
      <w:pPr>
        <w:widowControl/>
        <w:wordWrap w:val="0"/>
        <w:jc w:val="left"/>
        <w:rPr>
          <w:rFonts w:hint="eastAsia" w:ascii="宋体" w:hAnsi="宋体" w:cs="宋体"/>
          <w:kern w:val="0"/>
          <w:sz w:val="18"/>
          <w:szCs w:val="18"/>
        </w:rPr>
      </w:pPr>
      <w:r>
        <w:rPr>
          <w:rFonts w:hint="eastAsia" w:cs="宋体"/>
          <w:kern w:val="0"/>
          <w:sz w:val="18"/>
          <w:szCs w:val="18"/>
        </w:rPr>
        <w:t>三、多项选择题</w:t>
      </w:r>
    </w:p>
    <w:p>
      <w:pPr>
        <w:widowControl/>
        <w:wordWrap w:val="0"/>
        <w:jc w:val="left"/>
        <w:rPr>
          <w:rFonts w:hint="eastAsia" w:ascii="宋体" w:hAnsi="宋体" w:cs="宋体"/>
          <w:kern w:val="0"/>
          <w:sz w:val="18"/>
          <w:szCs w:val="18"/>
          <w:lang w:val="en-US" w:eastAsia="zh-CN"/>
        </w:rPr>
      </w:pPr>
      <w:r>
        <w:rPr>
          <w:rFonts w:ascii="宋体" w:hAnsi="宋体" w:cs="宋体"/>
          <w:kern w:val="0"/>
          <w:sz w:val="18"/>
          <w:szCs w:val="18"/>
        </w:rPr>
        <w:t>1. ABC  2 .CD  3 .ABCD  4 . CD  5 .BCD</w:t>
      </w:r>
      <w:r>
        <w:rPr>
          <w:rFonts w:hint="eastAsia" w:ascii="宋体" w:hAnsi="宋体" w:cs="宋体"/>
          <w:kern w:val="0"/>
          <w:sz w:val="18"/>
          <w:szCs w:val="18"/>
          <w:lang w:val="en-US" w:eastAsia="zh-CN"/>
        </w:rPr>
        <w:t xml:space="preserve">   6.   7.BC   8.BCD   9.BC   10.</w:t>
      </w:r>
    </w:p>
    <w:p>
      <w:pPr>
        <w:widowControl/>
        <w:wordWrap w:val="0"/>
        <w:jc w:val="left"/>
        <w:rPr>
          <w:rFonts w:hint="eastAsia" w:ascii="宋体" w:hAnsi="宋体" w:cs="宋体"/>
          <w:kern w:val="0"/>
          <w:sz w:val="18"/>
          <w:szCs w:val="18"/>
          <w:lang w:val="en-US" w:eastAsia="zh-CN"/>
        </w:rPr>
      </w:pPr>
      <w:r>
        <w:rPr>
          <w:rFonts w:hint="eastAsia" w:ascii="宋体" w:hAnsi="宋体" w:cs="宋体"/>
          <w:kern w:val="0"/>
          <w:sz w:val="18"/>
          <w:szCs w:val="18"/>
          <w:lang w:val="en-US" w:eastAsia="zh-CN"/>
        </w:rPr>
        <w:t>四、判断题</w:t>
      </w:r>
    </w:p>
    <w:p>
      <w:pPr>
        <w:widowControl/>
        <w:wordWrap w:val="0"/>
        <w:jc w:val="left"/>
        <w:rPr>
          <w:rFonts w:hint="default" w:ascii="宋体" w:hAnsi="宋体" w:cs="宋体"/>
          <w:kern w:val="0"/>
          <w:sz w:val="18"/>
          <w:szCs w:val="18"/>
          <w:lang w:val="en-US" w:eastAsia="zh-CN"/>
        </w:rPr>
      </w:pPr>
      <w:r>
        <w:rPr>
          <w:rFonts w:hint="eastAsia" w:ascii="宋体" w:hAnsi="宋体" w:cs="宋体"/>
          <w:kern w:val="0"/>
          <w:sz w:val="18"/>
          <w:szCs w:val="18"/>
          <w:lang w:val="en-US" w:eastAsia="zh-CN"/>
        </w:rPr>
        <w:t>1.错  2.  3.错  4. 5.错  6.错  7.错  8.错  9.  10.对</w:t>
      </w:r>
    </w:p>
    <w:p>
      <w:pPr>
        <w:widowControl/>
        <w:wordWrap w:val="0"/>
        <w:jc w:val="left"/>
        <w:rPr>
          <w:rFonts w:ascii="宋体" w:hAnsi="宋体" w:cs="宋体"/>
          <w:kern w:val="0"/>
          <w:sz w:val="18"/>
          <w:szCs w:val="18"/>
        </w:rPr>
      </w:pPr>
      <w:r>
        <w:rPr>
          <w:rFonts w:ascii="宋体" w:hAnsi="宋体" w:cs="宋体"/>
          <w:kern w:val="0"/>
          <w:sz w:val="18"/>
          <w:szCs w:val="18"/>
        </w:rPr>
        <w:t>　 　</w:t>
      </w:r>
    </w:p>
    <w:p>
      <w:pPr>
        <w:widowControl/>
        <w:wordWrap w:val="0"/>
        <w:jc w:val="left"/>
        <w:rPr>
          <w:rFonts w:hint="eastAsia" w:ascii="宋体" w:hAnsi="宋体" w:cs="宋体"/>
          <w:kern w:val="0"/>
          <w:sz w:val="18"/>
          <w:szCs w:val="18"/>
        </w:rPr>
      </w:pPr>
      <w:r>
        <w:rPr>
          <w:rFonts w:hint="eastAsia" w:cs="宋体"/>
          <w:kern w:val="0"/>
          <w:sz w:val="18"/>
          <w:szCs w:val="18"/>
          <w:lang w:eastAsia="zh-CN"/>
        </w:rPr>
        <w:t>五</w:t>
      </w:r>
      <w:r>
        <w:rPr>
          <w:rFonts w:hint="eastAsia" w:cs="宋体"/>
          <w:kern w:val="0"/>
          <w:sz w:val="18"/>
          <w:szCs w:val="18"/>
        </w:rPr>
        <w:t>、简答题</w:t>
      </w:r>
    </w:p>
    <w:p>
      <w:pPr>
        <w:widowControl/>
        <w:wordWrap w:val="0"/>
        <w:jc w:val="left"/>
        <w:rPr>
          <w:rFonts w:ascii="宋体" w:hAnsi="宋体" w:cs="宋体"/>
          <w:kern w:val="0"/>
          <w:sz w:val="18"/>
          <w:szCs w:val="18"/>
        </w:rPr>
      </w:pPr>
      <w:r>
        <w:rPr>
          <w:rFonts w:ascii="宋体" w:hAnsi="宋体" w:cs="宋体"/>
          <w:kern w:val="0"/>
          <w:sz w:val="18"/>
          <w:szCs w:val="18"/>
        </w:rPr>
        <w:t xml:space="preserve">1. </w:t>
      </w:r>
      <w:r>
        <w:rPr>
          <w:rFonts w:hint="eastAsia" w:cs="宋体"/>
          <w:kern w:val="0"/>
          <w:sz w:val="18"/>
          <w:szCs w:val="18"/>
        </w:rPr>
        <w:t>民事诉讼法与行政诉讼法的区别。</w:t>
      </w:r>
    </w:p>
    <w:p>
      <w:pPr>
        <w:widowControl/>
        <w:wordWrap w:val="0"/>
        <w:jc w:val="left"/>
        <w:rPr>
          <w:rFonts w:ascii="宋体" w:hAnsi="宋体" w:cs="宋体"/>
          <w:kern w:val="0"/>
          <w:sz w:val="18"/>
          <w:szCs w:val="18"/>
        </w:rPr>
      </w:pPr>
      <w:r>
        <w:rPr>
          <w:rFonts w:ascii="宋体" w:hAnsi="宋体" w:cs="宋体"/>
          <w:kern w:val="0"/>
          <w:sz w:val="18"/>
          <w:szCs w:val="18"/>
        </w:rPr>
        <w:t>(1 )</w:t>
      </w:r>
      <w:r>
        <w:rPr>
          <w:rFonts w:hint="eastAsia" w:cs="宋体"/>
          <w:kern w:val="0"/>
          <w:sz w:val="18"/>
          <w:szCs w:val="18"/>
        </w:rPr>
        <w:t>诉讼主体不同</w:t>
      </w:r>
    </w:p>
    <w:p>
      <w:pPr>
        <w:widowControl/>
        <w:wordWrap w:val="0"/>
        <w:jc w:val="left"/>
        <w:rPr>
          <w:rFonts w:ascii="宋体" w:hAnsi="宋体" w:cs="宋体"/>
          <w:kern w:val="0"/>
          <w:sz w:val="18"/>
          <w:szCs w:val="18"/>
        </w:rPr>
      </w:pPr>
      <w:r>
        <w:rPr>
          <w:rFonts w:hint="eastAsia" w:cs="宋体"/>
          <w:kern w:val="0"/>
          <w:sz w:val="18"/>
          <w:szCs w:val="18"/>
        </w:rPr>
        <w:t>民事诉讼的主体是公民、法人、准法人组织的原告、被告、第三人，他们诉讼地位平等，诉讼权利义务对等，在不同的个案中，可以位置互换，以实体权利义务关系的不同和提起诉讼的先后为准。</w:t>
      </w:r>
    </w:p>
    <w:p>
      <w:pPr>
        <w:widowControl/>
        <w:wordWrap w:val="0"/>
        <w:jc w:val="left"/>
        <w:rPr>
          <w:rFonts w:ascii="宋体" w:hAnsi="宋体" w:cs="宋体"/>
          <w:kern w:val="0"/>
          <w:sz w:val="18"/>
          <w:szCs w:val="18"/>
        </w:rPr>
      </w:pPr>
      <w:r>
        <w:rPr>
          <w:rFonts w:hint="eastAsia" w:cs="宋体"/>
          <w:kern w:val="0"/>
          <w:sz w:val="18"/>
          <w:szCs w:val="18"/>
        </w:rPr>
        <w:t>行政诉讼主体的位置是固定的，都是以行政管理的相对人为原告，以实施行政管理的行政</w:t>
      </w:r>
    </w:p>
    <w:p>
      <w:pPr>
        <w:widowControl/>
        <w:wordWrap w:val="0"/>
        <w:jc w:val="left"/>
        <w:rPr>
          <w:rFonts w:ascii="宋体" w:hAnsi="宋体" w:cs="宋体"/>
          <w:kern w:val="0"/>
          <w:sz w:val="18"/>
          <w:szCs w:val="18"/>
        </w:rPr>
      </w:pPr>
      <w:r>
        <w:rPr>
          <w:rFonts w:hint="eastAsia" w:cs="宋体"/>
          <w:kern w:val="0"/>
          <w:sz w:val="18"/>
          <w:szCs w:val="18"/>
        </w:rPr>
        <w:t>主体为被告，位置不得转换。行政诉讼当事人的诉讼地位是有区别的，被告人往往占有优势。</w:t>
      </w:r>
    </w:p>
    <w:p>
      <w:pPr>
        <w:widowControl/>
        <w:wordWrap w:val="0"/>
        <w:jc w:val="left"/>
        <w:rPr>
          <w:rFonts w:ascii="宋体" w:hAnsi="宋体" w:cs="宋体"/>
          <w:kern w:val="0"/>
          <w:sz w:val="18"/>
          <w:szCs w:val="18"/>
        </w:rPr>
      </w:pPr>
      <w:r>
        <w:rPr>
          <w:rFonts w:ascii="宋体" w:hAnsi="宋体" w:cs="宋体"/>
          <w:kern w:val="0"/>
          <w:sz w:val="18"/>
          <w:szCs w:val="18"/>
        </w:rPr>
        <w:t>(2 )</w:t>
      </w:r>
      <w:r>
        <w:rPr>
          <w:rFonts w:hint="eastAsia" w:cs="宋体"/>
          <w:kern w:val="0"/>
          <w:sz w:val="18"/>
          <w:szCs w:val="18"/>
        </w:rPr>
        <w:t>诉讼客体不同</w:t>
      </w:r>
    </w:p>
    <w:p>
      <w:pPr>
        <w:widowControl/>
        <w:wordWrap w:val="0"/>
        <w:jc w:val="left"/>
        <w:rPr>
          <w:rFonts w:ascii="宋体" w:hAnsi="宋体" w:cs="宋体"/>
          <w:kern w:val="0"/>
          <w:sz w:val="18"/>
          <w:szCs w:val="18"/>
        </w:rPr>
      </w:pPr>
      <w:r>
        <w:rPr>
          <w:rFonts w:hint="eastAsia" w:cs="宋体"/>
          <w:kern w:val="0"/>
          <w:sz w:val="18"/>
          <w:szCs w:val="18"/>
        </w:rPr>
        <w:t>民事诉讼的诉讼客体是诉讼主体之间权利义务所指向的对象，即当事人之间要求人民法院确认双方当事人发生争议的权利义务善系·行政诉讼的客体是行政机关在行政管理时实施的具体行政行为，相对人对此行为不服向人民法院起诉，才引起行政诉讼。</w:t>
      </w:r>
    </w:p>
    <w:p>
      <w:pPr>
        <w:widowControl/>
        <w:wordWrap w:val="0"/>
        <w:jc w:val="left"/>
        <w:rPr>
          <w:rFonts w:ascii="宋体" w:hAnsi="宋体" w:cs="宋体"/>
          <w:kern w:val="0"/>
          <w:sz w:val="18"/>
          <w:szCs w:val="18"/>
        </w:rPr>
      </w:pPr>
      <w:r>
        <w:rPr>
          <w:rFonts w:ascii="宋体" w:hAnsi="宋体" w:cs="宋体"/>
          <w:kern w:val="0"/>
          <w:sz w:val="18"/>
          <w:szCs w:val="18"/>
        </w:rPr>
        <w:t>(3 )</w:t>
      </w:r>
      <w:r>
        <w:rPr>
          <w:rFonts w:hint="eastAsia" w:cs="宋体"/>
          <w:kern w:val="0"/>
          <w:sz w:val="18"/>
          <w:szCs w:val="18"/>
        </w:rPr>
        <w:t>某些程序、制度不同</w:t>
      </w:r>
    </w:p>
    <w:p>
      <w:pPr>
        <w:widowControl/>
        <w:wordWrap w:val="0"/>
        <w:jc w:val="left"/>
        <w:rPr>
          <w:rFonts w:ascii="宋体" w:hAnsi="宋体" w:cs="宋体"/>
          <w:kern w:val="0"/>
          <w:sz w:val="18"/>
          <w:szCs w:val="18"/>
        </w:rPr>
      </w:pPr>
      <w:r>
        <w:rPr>
          <w:rFonts w:hint="eastAsia" w:cs="宋体"/>
          <w:kern w:val="0"/>
          <w:sz w:val="18"/>
          <w:szCs w:val="18"/>
        </w:rPr>
        <w:t>在程序方面，民事诉讼法在普通程序之外，还规定了简易程序，凡能够调解的均应进行调解。为了提高诉讼效率和质量，还规定了调解制度。</w:t>
      </w:r>
    </w:p>
    <w:p>
      <w:pPr>
        <w:widowControl/>
        <w:wordWrap w:val="0"/>
        <w:jc w:val="left"/>
        <w:rPr>
          <w:rFonts w:ascii="宋体" w:hAnsi="宋体" w:cs="宋体"/>
          <w:kern w:val="0"/>
          <w:sz w:val="18"/>
          <w:szCs w:val="18"/>
        </w:rPr>
      </w:pPr>
      <w:r>
        <w:rPr>
          <w:rFonts w:hint="eastAsia" w:cs="宋体"/>
          <w:kern w:val="0"/>
          <w:sz w:val="18"/>
          <w:szCs w:val="18"/>
        </w:rPr>
        <w:t>在行政诉讼中，既未规定简易程序，也未规定调解制度。</w:t>
      </w:r>
    </w:p>
    <w:p>
      <w:pPr>
        <w:widowControl/>
        <w:wordWrap w:val="0"/>
        <w:jc w:val="left"/>
        <w:rPr>
          <w:rFonts w:ascii="宋体" w:hAnsi="宋体" w:cs="宋体"/>
          <w:kern w:val="0"/>
          <w:sz w:val="18"/>
          <w:szCs w:val="18"/>
        </w:rPr>
      </w:pPr>
      <w:r>
        <w:rPr>
          <w:rFonts w:ascii="宋体" w:hAnsi="宋体" w:cs="宋体"/>
          <w:kern w:val="0"/>
          <w:sz w:val="18"/>
          <w:szCs w:val="18"/>
        </w:rPr>
        <w:t>(4 )</w:t>
      </w:r>
      <w:r>
        <w:rPr>
          <w:rFonts w:hint="eastAsia" w:cs="宋体"/>
          <w:kern w:val="0"/>
          <w:sz w:val="18"/>
          <w:szCs w:val="18"/>
        </w:rPr>
        <w:t>举证责任的规定不同</w:t>
      </w:r>
    </w:p>
    <w:p>
      <w:pPr>
        <w:widowControl/>
        <w:wordWrap w:val="0"/>
        <w:jc w:val="left"/>
        <w:rPr>
          <w:rFonts w:ascii="宋体" w:hAnsi="宋体" w:cs="宋体"/>
          <w:kern w:val="0"/>
          <w:sz w:val="18"/>
          <w:szCs w:val="18"/>
        </w:rPr>
      </w:pPr>
      <w:r>
        <w:rPr>
          <w:rFonts w:hint="eastAsia" w:cs="宋体"/>
          <w:kern w:val="0"/>
          <w:sz w:val="18"/>
          <w:szCs w:val="18"/>
        </w:rPr>
        <w:t>民事诉讼法规定，当争议的事实不清，真伪不明时，一般由原告承担不利的诉讼后果</w:t>
      </w:r>
      <w:r>
        <w:rPr>
          <w:rFonts w:ascii="宋体" w:hAnsi="宋体" w:cs="宋体"/>
          <w:kern w:val="0"/>
          <w:sz w:val="18"/>
          <w:szCs w:val="18"/>
        </w:rPr>
        <w:t>;</w:t>
      </w:r>
      <w:r>
        <w:rPr>
          <w:rFonts w:hint="eastAsia" w:cs="宋体"/>
          <w:kern w:val="0"/>
          <w:sz w:val="18"/>
          <w:szCs w:val="18"/>
        </w:rPr>
        <w:t>在特殊情况下，举证责任倒置，由被告承担举证责任。</w:t>
      </w:r>
    </w:p>
    <w:p>
      <w:pPr>
        <w:widowControl/>
        <w:wordWrap w:val="0"/>
        <w:jc w:val="left"/>
        <w:rPr>
          <w:rFonts w:ascii="宋体" w:hAnsi="宋体" w:cs="宋体"/>
          <w:kern w:val="0"/>
          <w:sz w:val="18"/>
          <w:szCs w:val="18"/>
        </w:rPr>
      </w:pPr>
      <w:r>
        <w:rPr>
          <w:rFonts w:hint="eastAsia" w:cs="宋体"/>
          <w:kern w:val="0"/>
          <w:sz w:val="18"/>
          <w:szCs w:val="18"/>
        </w:rPr>
        <w:t>行政诉讼法规定，由被告即行政主体承担举证责任，提供证明材料证明自己的具体行政行为正确且有法律依据。</w:t>
      </w:r>
    </w:p>
    <w:p>
      <w:pPr>
        <w:widowControl/>
        <w:wordWrap w:val="0"/>
        <w:jc w:val="left"/>
        <w:rPr>
          <w:rFonts w:ascii="宋体" w:hAnsi="宋体" w:cs="宋体"/>
          <w:kern w:val="0"/>
          <w:sz w:val="18"/>
          <w:szCs w:val="18"/>
        </w:rPr>
      </w:pPr>
      <w:r>
        <w:rPr>
          <w:rFonts w:ascii="宋体" w:hAnsi="宋体" w:cs="宋体"/>
          <w:kern w:val="0"/>
          <w:sz w:val="18"/>
          <w:szCs w:val="18"/>
        </w:rPr>
        <w:t>(5 )</w:t>
      </w:r>
      <w:r>
        <w:rPr>
          <w:rFonts w:hint="eastAsia" w:cs="宋体"/>
          <w:kern w:val="0"/>
          <w:sz w:val="18"/>
          <w:szCs w:val="18"/>
        </w:rPr>
        <w:t>提供证据的时间不同</w:t>
      </w:r>
    </w:p>
    <w:p>
      <w:pPr>
        <w:widowControl/>
        <w:wordWrap w:val="0"/>
        <w:jc w:val="left"/>
        <w:rPr>
          <w:rFonts w:ascii="宋体" w:hAnsi="宋体" w:cs="宋体"/>
          <w:kern w:val="0"/>
          <w:sz w:val="18"/>
          <w:szCs w:val="18"/>
        </w:rPr>
      </w:pPr>
      <w:r>
        <w:rPr>
          <w:rFonts w:hint="eastAsia" w:cs="宋体"/>
          <w:kern w:val="0"/>
          <w:sz w:val="18"/>
          <w:szCs w:val="18"/>
        </w:rPr>
        <w:t>在民事诉讼进行中，在人民法院作出判决之前，当事人都可提供证明材料，支持自己的主张，这是从尊重当事人诉讼地位而作出的规定。</w:t>
      </w:r>
      <w:r>
        <w:rPr>
          <w:rFonts w:ascii="宋体" w:hAnsi="宋体" w:cs="宋体"/>
          <w:kern w:val="0"/>
          <w:sz w:val="18"/>
          <w:szCs w:val="18"/>
        </w:rPr>
        <w:t>2001</w:t>
      </w:r>
      <w:r>
        <w:rPr>
          <w:rFonts w:hint="eastAsia" w:cs="宋体"/>
          <w:kern w:val="0"/>
          <w:sz w:val="18"/>
          <w:szCs w:val="18"/>
        </w:rPr>
        <w:t>年最高人民法院作出司法解释，要求当事人遵守自行约定或者由人民法院指定的举证期限。但是，法律的规定并未改变。</w:t>
      </w:r>
    </w:p>
    <w:p>
      <w:pPr>
        <w:widowControl/>
        <w:wordWrap w:val="0"/>
        <w:jc w:val="left"/>
        <w:rPr>
          <w:rFonts w:ascii="宋体" w:hAnsi="宋体" w:cs="宋体"/>
          <w:kern w:val="0"/>
          <w:sz w:val="18"/>
          <w:szCs w:val="18"/>
        </w:rPr>
      </w:pPr>
      <w:r>
        <w:rPr>
          <w:rFonts w:hint="eastAsia" w:cs="宋体"/>
          <w:kern w:val="0"/>
          <w:sz w:val="18"/>
          <w:szCs w:val="18"/>
        </w:rPr>
        <w:t>在行政诉讼中，由于被告的特殊地位，人民法院不支持被告及其代理人在作出具体行政行为后自行收集自行收集证据，在特殊情况下，被告经人民法院准许，才可以补充相关的证据。</w:t>
      </w:r>
    </w:p>
    <w:p>
      <w:pPr>
        <w:widowControl/>
        <w:wordWrap w:val="0"/>
        <w:jc w:val="left"/>
        <w:rPr>
          <w:rFonts w:ascii="宋体" w:hAnsi="宋体" w:cs="宋体"/>
          <w:kern w:val="0"/>
          <w:sz w:val="18"/>
          <w:szCs w:val="18"/>
        </w:rPr>
      </w:pPr>
      <w:r>
        <w:rPr>
          <w:rFonts w:ascii="宋体" w:hAnsi="宋体" w:cs="宋体"/>
          <w:kern w:val="0"/>
          <w:sz w:val="18"/>
          <w:szCs w:val="18"/>
        </w:rPr>
        <w:t>　 　</w:t>
      </w:r>
    </w:p>
    <w:p>
      <w:pPr>
        <w:widowControl/>
        <w:wordWrap w:val="0"/>
        <w:jc w:val="left"/>
        <w:rPr>
          <w:rFonts w:ascii="宋体" w:hAnsi="宋体" w:cs="宋体"/>
          <w:kern w:val="0"/>
          <w:sz w:val="18"/>
          <w:szCs w:val="18"/>
        </w:rPr>
      </w:pPr>
      <w:r>
        <w:rPr>
          <w:rFonts w:ascii="宋体" w:hAnsi="宋体" w:cs="宋体"/>
          <w:kern w:val="0"/>
          <w:sz w:val="18"/>
          <w:szCs w:val="18"/>
        </w:rPr>
        <w:t xml:space="preserve">2. </w:t>
      </w:r>
      <w:r>
        <w:rPr>
          <w:rFonts w:hint="eastAsia" w:cs="宋体"/>
          <w:kern w:val="0"/>
          <w:sz w:val="18"/>
          <w:szCs w:val="18"/>
        </w:rPr>
        <w:t>人民法院提起审判监督程序的三种情况。</w:t>
      </w:r>
    </w:p>
    <w:p>
      <w:pPr>
        <w:widowControl/>
        <w:wordWrap w:val="0"/>
        <w:jc w:val="left"/>
        <w:rPr>
          <w:rFonts w:ascii="宋体" w:hAnsi="宋体" w:cs="宋体"/>
          <w:kern w:val="0"/>
          <w:sz w:val="18"/>
          <w:szCs w:val="18"/>
        </w:rPr>
      </w:pPr>
      <w:r>
        <w:rPr>
          <w:rFonts w:ascii="宋体" w:hAnsi="宋体" w:cs="宋体"/>
          <w:kern w:val="0"/>
          <w:sz w:val="18"/>
          <w:szCs w:val="18"/>
        </w:rPr>
        <w:t>(1 )</w:t>
      </w:r>
      <w:r>
        <w:rPr>
          <w:rFonts w:hint="eastAsia" w:cs="宋体"/>
          <w:kern w:val="0"/>
          <w:sz w:val="18"/>
          <w:szCs w:val="18"/>
        </w:rPr>
        <w:t>各级人民法院院长，发现本院作出得以生效的裁判、调解书确有错误，需要再审的，可</w:t>
      </w:r>
    </w:p>
    <w:p>
      <w:pPr>
        <w:widowControl/>
        <w:wordWrap w:val="0"/>
        <w:jc w:val="left"/>
        <w:rPr>
          <w:rFonts w:ascii="宋体" w:hAnsi="宋体" w:cs="宋体"/>
          <w:kern w:val="0"/>
          <w:sz w:val="18"/>
          <w:szCs w:val="18"/>
        </w:rPr>
      </w:pPr>
      <w:r>
        <w:rPr>
          <w:rFonts w:hint="eastAsia" w:cs="宋体"/>
          <w:kern w:val="0"/>
          <w:sz w:val="18"/>
          <w:szCs w:val="18"/>
        </w:rPr>
        <w:t>提起再审程序。</w:t>
      </w:r>
    </w:p>
    <w:p>
      <w:pPr>
        <w:widowControl/>
        <w:wordWrap w:val="0"/>
        <w:jc w:val="left"/>
        <w:rPr>
          <w:rFonts w:ascii="宋体" w:hAnsi="宋体" w:cs="宋体"/>
          <w:kern w:val="0"/>
          <w:sz w:val="18"/>
          <w:szCs w:val="18"/>
        </w:rPr>
      </w:pPr>
      <w:r>
        <w:rPr>
          <w:rFonts w:ascii="宋体" w:hAnsi="宋体" w:cs="宋体"/>
          <w:kern w:val="0"/>
          <w:sz w:val="18"/>
          <w:szCs w:val="18"/>
        </w:rPr>
        <w:t>(2 )</w:t>
      </w:r>
      <w:r>
        <w:rPr>
          <w:rFonts w:hint="eastAsia" w:cs="宋体"/>
          <w:kern w:val="0"/>
          <w:sz w:val="18"/>
          <w:szCs w:val="18"/>
        </w:rPr>
        <w:t>最高人民法院对地方各级人民法院已生效的裁判、调解书发现有错误，需要再审的程序。</w:t>
      </w:r>
    </w:p>
    <w:p>
      <w:pPr>
        <w:widowControl/>
        <w:wordWrap w:val="0"/>
        <w:jc w:val="left"/>
        <w:rPr>
          <w:rFonts w:ascii="宋体" w:hAnsi="宋体" w:cs="宋体"/>
          <w:kern w:val="0"/>
          <w:sz w:val="18"/>
          <w:szCs w:val="18"/>
        </w:rPr>
      </w:pPr>
      <w:r>
        <w:rPr>
          <w:rFonts w:ascii="宋体" w:hAnsi="宋体" w:cs="宋体"/>
          <w:kern w:val="0"/>
          <w:sz w:val="18"/>
          <w:szCs w:val="18"/>
        </w:rPr>
        <w:t xml:space="preserve">(3) </w:t>
      </w:r>
      <w:r>
        <w:rPr>
          <w:rFonts w:hint="eastAsia" w:cs="宋体"/>
          <w:kern w:val="0"/>
          <w:sz w:val="18"/>
          <w:szCs w:val="18"/>
        </w:rPr>
        <w:t>上级人民法院对下级人民法院已生效的裁判、调解书发现确有错误，提起再审程序。</w:t>
      </w:r>
    </w:p>
    <w:p>
      <w:pPr>
        <w:widowControl/>
        <w:wordWrap w:val="0"/>
        <w:jc w:val="left"/>
        <w:rPr>
          <w:rFonts w:ascii="宋体" w:hAnsi="宋体" w:cs="宋体"/>
          <w:kern w:val="0"/>
          <w:sz w:val="18"/>
          <w:szCs w:val="18"/>
        </w:rPr>
      </w:pPr>
    </w:p>
    <w:p>
      <w:pPr>
        <w:widowControl/>
        <w:wordWrap w:val="0"/>
        <w:spacing w:line="360" w:lineRule="auto"/>
        <w:jc w:val="left"/>
        <w:rPr>
          <w:rFonts w:ascii="宋体" w:hAnsi="宋体" w:cs="宋体"/>
          <w:kern w:val="0"/>
          <w:sz w:val="24"/>
        </w:rPr>
      </w:pPr>
      <w:r>
        <w:rPr>
          <w:rFonts w:ascii="宋体" w:hAnsi="宋体" w:cs="宋体"/>
          <w:kern w:val="0"/>
          <w:sz w:val="24"/>
        </w:rPr>
        <w:t>　 　</w:t>
      </w:r>
    </w:p>
    <w:p>
      <w:pPr>
        <w:rPr>
          <w:rFonts w:hint="eastAsia" w:eastAsia="黑体"/>
          <w:b/>
          <w:bCs/>
          <w:sz w:val="24"/>
          <w:lang w:val="en-GB"/>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dobeHeitiStd-Regular">
    <w:altName w:val="hakuyoxingshu7000"/>
    <w:panose1 w:val="00000000000000000000"/>
    <w:charset w:val="00"/>
    <w:family w:val="roman"/>
    <w:pitch w:val="default"/>
    <w:sig w:usb0="00000000" w:usb1="00000000" w:usb2="00000000" w:usb3="00000000" w:csb0="00040001" w:csb1="00000000"/>
  </w:font>
  <w:font w:name="hakuyoxingshu7000">
    <w:panose1 w:val="02000600000000000000"/>
    <w:charset w:val="86"/>
    <w:family w:val="auto"/>
    <w:pitch w:val="default"/>
    <w:sig w:usb0="FFFFFFFF" w:usb1="E9FFFFFF" w:usb2="0000003F" w:usb3="00000000" w:csb0="603F00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8E73F3"/>
    <w:multiLevelType w:val="singleLevel"/>
    <w:tmpl w:val="2B8E73F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0E0594"/>
    <w:rsid w:val="03F3632F"/>
    <w:rsid w:val="0634691C"/>
    <w:rsid w:val="148E302E"/>
    <w:rsid w:val="26F107A4"/>
    <w:rsid w:val="393361EC"/>
    <w:rsid w:val="3C0E0594"/>
    <w:rsid w:val="52ED67DE"/>
    <w:rsid w:val="540A0D6B"/>
    <w:rsid w:val="60B9366E"/>
    <w:rsid w:val="78200B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customStyle="1" w:styleId="6">
    <w:name w:val="a style17"/>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2021-10-18T08:05:00Z</dcterms:created>
  <dc:creator>H姐姐</dc:creator>
  <cp:lastModifiedBy>H姐姐</cp:lastModifiedBy>
  <dcterms:modified xsi:type="dcterms:W3CDTF">2021-11-25T06:57:29Z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CE02386D83B84262948BB01AB5B03D26</vt:lpwstr>
  </property>
</Properties>
</file>