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06F58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民法学复习资料</w:t>
      </w:r>
    </w:p>
    <w:p w14:paraId="6A4FD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i w:val="0"/>
          <w:iCs w:val="0"/>
          <w:lang w:val="en-US" w:eastAsia="zh-Hans"/>
        </w:rPr>
      </w:pPr>
      <w:r>
        <w:rPr>
          <w:rFonts w:hint="eastAsia" w:ascii="宋体" w:hAnsi="宋体" w:eastAsia="宋体" w:cs="宋体"/>
          <w:b/>
          <w:bCs/>
          <w:i w:val="0"/>
          <w:iCs w:val="0"/>
          <w:lang w:val="en-US" w:eastAsia="zh-Hans"/>
        </w:rPr>
        <w:t>一、单项选择题</w:t>
      </w:r>
    </w:p>
    <w:p w14:paraId="4864ED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  <w:t>1. 自然人的民事权利能力始于（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  <w:t xml:space="preserve"> ）。</w:t>
      </w:r>
    </w:p>
    <w:p w14:paraId="42C281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  <w:t>A. 户籍登记 B. 出生 C. 独立生活 D. 年满18周岁</w:t>
      </w:r>
    </w:p>
    <w:p w14:paraId="1D8E2C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  <w:t xml:space="preserve">2. 下列属于无民事行为能力人的是（ 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  <w:t>）。</w:t>
      </w:r>
    </w:p>
    <w:p w14:paraId="7B9EA7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  <w:t>A. 8周岁的小学生 B. 不能辨认自己行为的成年人 C. 15岁的中学生 D. 间歇性精神病患者</w:t>
      </w:r>
    </w:p>
    <w:p w14:paraId="3C22E0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  <w:t xml:space="preserve">3. 法人的本质是（ 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  <w:t>）。</w:t>
      </w:r>
    </w:p>
    <w:p w14:paraId="54E9B8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  <w:t>A. 自然人联合体 B. 组织体 C. 财产集合 D. 权利主体</w:t>
      </w:r>
    </w:p>
    <w:p w14:paraId="334A2E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  <w:t>4. 表见代理的核心要件是（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  <w:t xml:space="preserve"> ）。</w:t>
      </w:r>
    </w:p>
    <w:p w14:paraId="335DA4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  <w:t>A. 代理人有代理权 B. 相对人善意且无过失 C. 被代理人追认 D. 代理行为违法</w:t>
      </w:r>
    </w:p>
    <w:p w14:paraId="3035F8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  <w:t>5. 意思表示不真实的主要情形是（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  <w:t xml:space="preserve"> ）。</w:t>
      </w:r>
    </w:p>
    <w:p w14:paraId="5B607B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  <w:t>A. 意思表示延迟 B. 意思表示不一致（如欺诈、胁迫） C. 意思表示形式错误 D. 意思表示内容模糊</w:t>
      </w:r>
    </w:p>
    <w:p w14:paraId="3C3FFE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  <w:t>6. 普通诉讼时效期间为（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  <w:t xml:space="preserve"> ）。</w:t>
      </w:r>
    </w:p>
    <w:p w14:paraId="7141D8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  <w:t>A. 1年 B. 2年 C. 3年 D. 4年</w:t>
      </w:r>
    </w:p>
    <w:p w14:paraId="2E764C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  <w:t>7. 合同解除后，尚未履行的部分应（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  <w:t xml:space="preserve"> ）。</w:t>
      </w:r>
    </w:p>
    <w:p w14:paraId="475FD5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  <w:t>A. 继续履行 B. 终止履行 C. 变更履行 D. 抵销履行</w:t>
      </w:r>
    </w:p>
    <w:p w14:paraId="27355E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i w:val="0"/>
          <w:iCs w:val="0"/>
          <w:lang w:val="en-US" w:eastAsia="zh-Hans"/>
        </w:rPr>
      </w:pPr>
      <w:r>
        <w:rPr>
          <w:rFonts w:hint="eastAsia" w:ascii="宋体" w:hAnsi="宋体" w:eastAsia="宋体" w:cs="宋体"/>
          <w:b/>
          <w:bCs/>
          <w:i w:val="0"/>
          <w:iCs w:val="0"/>
          <w:lang w:val="en-US" w:eastAsia="zh-Hans"/>
        </w:rPr>
        <w:t>二、判断题</w:t>
      </w:r>
    </w:p>
    <w:p w14:paraId="1A6DDD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b w:val="0"/>
          <w:bCs w:val="0"/>
          <w:i w:val="0"/>
          <w:iCs w:val="0"/>
          <w:lang w:eastAsia="zh-Hans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  <w:t>1. 不满8周岁的未成年人是无民事行为能力人。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lang w:eastAsia="zh-Hans"/>
        </w:rPr>
        <w:t>（  ）</w:t>
      </w:r>
    </w:p>
    <w:p w14:paraId="220096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b w:val="0"/>
          <w:bCs w:val="0"/>
          <w:i w:val="0"/>
          <w:iCs w:val="0"/>
          <w:lang w:eastAsia="zh-Hans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  <w:t>2. 表见代理中，相对人需对“善意且无过失”承担举证责任。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lang w:eastAsia="zh-Hans"/>
        </w:rPr>
        <w:t xml:space="preserve">（  ） </w:t>
      </w:r>
    </w:p>
    <w:p w14:paraId="05B897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  <w:t>3. 法人的分支机构以自己名义从事民事活动的，后果由法人承担。（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lang w:eastAsia="zh-Hans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  <w:t>）</w:t>
      </w:r>
    </w:p>
    <w:p w14:paraId="384978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b w:val="0"/>
          <w:bCs w:val="0"/>
          <w:i w:val="0"/>
          <w:iCs w:val="0"/>
          <w:lang w:eastAsia="zh-Hans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  <w:t>4. 诉讼时效届满后，债务人仍可自愿履行债务。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lang w:eastAsia="zh-Hans"/>
        </w:rPr>
        <w:t>（  ）</w:t>
      </w:r>
    </w:p>
    <w:p w14:paraId="2D0437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  <w:t>5. 欺诈、胁迫属于意思表示不自由的情形。（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lang w:eastAsia="zh-Hans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  <w:t>）</w:t>
      </w:r>
    </w:p>
    <w:p w14:paraId="0D3C14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  <w:t>6. 民事主体因同一行为需承担民事、行政、刑事责任的，民事责任优先。（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lang w:eastAsia="zh-Hans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  <w:t>）</w:t>
      </w:r>
    </w:p>
    <w:p w14:paraId="585776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i w:val="0"/>
          <w:iCs w:val="0"/>
          <w:lang w:val="en-US" w:eastAsia="zh-Hans"/>
        </w:rPr>
      </w:pPr>
      <w:r>
        <w:rPr>
          <w:rFonts w:hint="eastAsia" w:ascii="宋体" w:hAnsi="宋体" w:eastAsia="宋体" w:cs="宋体"/>
          <w:b/>
          <w:bCs/>
          <w:i w:val="0"/>
          <w:iCs w:val="0"/>
          <w:lang w:val="en-US" w:eastAsia="zh-Hans"/>
        </w:rPr>
        <w:t>三、填空题</w:t>
      </w:r>
    </w:p>
    <w:p w14:paraId="6CC137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  <w:t>1. 民事法律行为的生效要件包括：行为人具有相应民事行为能力、意思表示真实、________。</w:t>
      </w:r>
    </w:p>
    <w:p w14:paraId="32F5E6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  <w:t>2. 法人的基本分类包括营利法人、________和特别法人。</w:t>
      </w:r>
    </w:p>
    <w:p w14:paraId="116ECF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  <w:t>3. 向人民法院请求保护民事权利的诉讼时效期间为________年。</w:t>
      </w:r>
    </w:p>
    <w:p w14:paraId="4931D5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  <w:t>4. 无权代理的法律效果是________。</w:t>
      </w:r>
    </w:p>
    <w:p w14:paraId="6F1F7B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  <w:t>5. 意思表示的形式包括明示和________。</w:t>
      </w:r>
    </w:p>
    <w:p w14:paraId="4C7476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  <w:t>6. 承担民事责任的方式主要有停止侵害、排除妨害、________等。</w:t>
      </w:r>
    </w:p>
    <w:p w14:paraId="56F9D9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i w:val="0"/>
          <w:iCs w:val="0"/>
          <w:lang w:val="en-US" w:eastAsia="zh-Hans"/>
        </w:rPr>
      </w:pPr>
      <w:r>
        <w:rPr>
          <w:rFonts w:hint="eastAsia" w:ascii="宋体" w:hAnsi="宋体" w:eastAsia="宋体" w:cs="宋体"/>
          <w:b/>
          <w:bCs/>
          <w:i w:val="0"/>
          <w:iCs w:val="0"/>
          <w:lang w:val="en-US" w:eastAsia="zh-Hans"/>
        </w:rPr>
        <w:t>四、简答题</w:t>
      </w:r>
    </w:p>
    <w:p w14:paraId="0D13A3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  <w:t>1. 简述民事法律行为有效的要件。</w:t>
      </w:r>
    </w:p>
    <w:p w14:paraId="18A9D58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  <w:t>简述法人的类型及核心特征。</w:t>
      </w:r>
    </w:p>
    <w:p w14:paraId="5E4BF06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  <w:t>简述诉讼时效的客体与效力。</w:t>
      </w:r>
    </w:p>
    <w:p w14:paraId="6BFE8C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i w:val="0"/>
          <w:iCs w:val="0"/>
          <w:lang w:val="en-US" w:eastAsia="zh-Hans"/>
        </w:rPr>
      </w:pPr>
      <w:r>
        <w:rPr>
          <w:rFonts w:hint="eastAsia" w:ascii="宋体" w:hAnsi="宋体" w:eastAsia="宋体" w:cs="宋体"/>
          <w:b/>
          <w:bCs/>
          <w:i w:val="0"/>
          <w:iCs w:val="0"/>
          <w:lang w:val="en-US" w:eastAsia="zh-Hans"/>
        </w:rPr>
        <w:t>五、案例分析题</w:t>
      </w:r>
    </w:p>
    <w:p w14:paraId="201AA6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  <w:t>案例一</w:t>
      </w:r>
    </w:p>
    <w:p w14:paraId="597648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  <w:t>2023年3月，15周岁的甲（高中生）未经父母同意，用自己的压岁钱2万元与乙签订了一份二手笔记本电脑买卖合同。甲回家后告知父母，父母明确表示反对。乙要求甲履行合同，甲以“自己是限制民事行为能力人，合同未生效”为由拒绝。同时，乙发现甲在签订合同时隐瞒了电脑曾进水的事实（但未影响正常使用）。</w:t>
      </w:r>
    </w:p>
    <w:p w14:paraId="62F069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  <w:t>问题：</w:t>
      </w:r>
    </w:p>
    <w:p w14:paraId="7722BB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  <w:t>（1）甲与乙的买卖合同效力如何？为什么？</w:t>
      </w:r>
    </w:p>
    <w:p w14:paraId="36BA11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  <w:t>（2）甲隐瞒电脑进水事实的行为是否构成欺诈？乙能否以此主张撤销合同？</w:t>
      </w:r>
    </w:p>
    <w:p w14:paraId="31ED5D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  <w:t>案例二</w:t>
      </w:r>
    </w:p>
    <w:p w14:paraId="5A3BB5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  <w:t>丙将其所有的一套房屋卖给丁，双方签订书面合同，约定丁支付150万元，丙协助办理过户登记。丁按约支付全款后，丙因房价上涨反悔，拒绝配合过户。丁无奈之下，与戊签订租赁合同，约定丁将该房屋出租给戊，租期5年，租金抵偿丙的违约金（双方虚构）。后丙发现丁擅自出租房屋，诉至法院要求确认租赁合同无效并腾退房屋。</w:t>
      </w:r>
    </w:p>
    <w:p w14:paraId="72B7AA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  <w:t>问题：</w:t>
      </w:r>
    </w:p>
    <w:p w14:paraId="29CD53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  <w:t>（1）丙与丁的房屋买卖合同是否生效？丁是否取得房屋所有权？为什么？</w:t>
      </w:r>
    </w:p>
    <w:p w14:paraId="2F85C5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  <w:t>（2）丁与戊的租赁合同效力如何？丙能否要求戊腾退房屋？</w:t>
      </w:r>
    </w:p>
    <w:p w14:paraId="097AD568">
      <w:pPr>
        <w:rPr>
          <w:rFonts w:hint="default"/>
          <w:lang w:val="en-US" w:eastAsia="zh-CN"/>
        </w:rPr>
      </w:pPr>
    </w:p>
    <w:p w14:paraId="5490335D">
      <w:pPr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答案</w:t>
      </w:r>
    </w:p>
    <w:p w14:paraId="607ECECF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i w:val="0"/>
          <w:iCs w:val="0"/>
          <w:lang w:val="en-US" w:eastAsia="zh-Hans"/>
        </w:rPr>
      </w:pPr>
      <w:r>
        <w:rPr>
          <w:rFonts w:hint="eastAsia" w:ascii="宋体" w:hAnsi="宋体" w:eastAsia="宋体" w:cs="宋体"/>
          <w:b/>
          <w:bCs/>
          <w:i w:val="0"/>
          <w:iCs w:val="0"/>
          <w:lang w:val="en-US" w:eastAsia="zh-Hans"/>
        </w:rPr>
        <w:t>单项选择题</w:t>
      </w:r>
    </w:p>
    <w:p w14:paraId="05970D2A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</w:pPr>
      <w:r>
        <w:rPr>
          <w:rFonts w:hint="default" w:ascii="宋体" w:hAnsi="宋体" w:eastAsia="宋体" w:cs="宋体"/>
          <w:b w:val="0"/>
          <w:bCs w:val="0"/>
          <w:i w:val="0"/>
          <w:iCs w:val="0"/>
          <w:lang w:eastAsia="zh-Hans"/>
        </w:rPr>
        <w:t>B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lang w:eastAsia="zh-Hans"/>
        </w:rPr>
        <w:t>B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lang w:eastAsia="zh-Hans"/>
        </w:rPr>
        <w:t>B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lang w:eastAsia="zh-Hans"/>
        </w:rPr>
        <w:t>B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lang w:eastAsia="zh-Hans"/>
        </w:rPr>
        <w:t>B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lang w:eastAsia="zh-Hans"/>
        </w:rPr>
        <w:t>C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lang w:eastAsia="zh-Hans"/>
        </w:rPr>
        <w:t>B</w:t>
      </w:r>
    </w:p>
    <w:p w14:paraId="070247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i w:val="0"/>
          <w:iCs w:val="0"/>
          <w:lang w:val="en-US" w:eastAsia="zh-Hans"/>
        </w:rPr>
      </w:pPr>
      <w:r>
        <w:rPr>
          <w:rFonts w:hint="eastAsia" w:ascii="宋体" w:hAnsi="宋体" w:eastAsia="宋体" w:cs="宋体"/>
          <w:b/>
          <w:bCs/>
          <w:i w:val="0"/>
          <w:iCs w:val="0"/>
          <w:lang w:val="en-US" w:eastAsia="zh-Hans"/>
        </w:rPr>
        <w:t>二、判断题</w:t>
      </w:r>
    </w:p>
    <w:p w14:paraId="1C506F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 xml:space="preserve"> 对 对 对 对 对 对 </w:t>
      </w:r>
    </w:p>
    <w:p w14:paraId="30134D29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/>
          <w:bCs/>
          <w:i w:val="0"/>
          <w:iCs w:val="0"/>
          <w:lang w:val="en-US" w:eastAsia="zh-Hans"/>
        </w:rPr>
      </w:pPr>
      <w:r>
        <w:rPr>
          <w:rFonts w:hint="eastAsia" w:ascii="宋体" w:hAnsi="宋体" w:eastAsia="宋体" w:cs="宋体"/>
          <w:b/>
          <w:bCs/>
          <w:i w:val="0"/>
          <w:iCs w:val="0"/>
          <w:lang w:val="en-US" w:eastAsia="zh-Hans"/>
        </w:rPr>
        <w:t>填空题</w:t>
      </w:r>
    </w:p>
    <w:p w14:paraId="396028A6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  <w:t>1. 不违反法律、行政法规的强制性规定，不违背公序良俗（《民法典》第143条）</w:t>
      </w:r>
    </w:p>
    <w:p w14:paraId="050898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  <w:t>2. 非营利法人（《民法典》第76-86条）</w:t>
      </w:r>
    </w:p>
    <w:p w14:paraId="482819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  <w:t>3. 3（《民法典》第188条）</w:t>
      </w:r>
    </w:p>
    <w:p w14:paraId="415388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  <w:t>4. 效力待定（《民法典》第171条）</w:t>
      </w:r>
    </w:p>
    <w:p w14:paraId="34208F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  <w:t>5. 默示（《民法典》第135条）</w:t>
      </w:r>
    </w:p>
    <w:p w14:paraId="1EEA37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  <w:t>6. 返还财产、赔偿损失（《民法典》第179条）</w:t>
      </w:r>
    </w:p>
    <w:p w14:paraId="66046A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i w:val="0"/>
          <w:iCs w:val="0"/>
          <w:lang w:val="en-US" w:eastAsia="zh-Hans"/>
        </w:rPr>
      </w:pPr>
      <w:r>
        <w:rPr>
          <w:rFonts w:hint="eastAsia" w:ascii="宋体" w:hAnsi="宋体" w:eastAsia="宋体" w:cs="宋体"/>
          <w:b/>
          <w:bCs/>
          <w:i w:val="0"/>
          <w:iCs w:val="0"/>
          <w:lang w:val="en-US" w:eastAsia="zh-Hans"/>
        </w:rPr>
        <w:t>四、简答题</w:t>
      </w:r>
    </w:p>
    <w:p w14:paraId="358A5A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  <w:t>1. 民事法律行为有效要件：</w:t>
      </w:r>
    </w:p>
    <w:p w14:paraId="041FCC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  <w:t>（1）行为人具有相应民事行为能力；（2）意思表示真实；（3）不违反法律、行政法规的强制性规定，不违背公序良俗（《民法典》第143条）。</w:t>
      </w:r>
    </w:p>
    <w:p w14:paraId="208DD6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  <w:t>2. 法人的类型及特征：</w:t>
      </w:r>
    </w:p>
    <w:p w14:paraId="308B7D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  <w:t>类型：营利法人（如公司）、非营利法人（如学校、医院）、特别法人（如机关法人、农村集体经济组织法人）。</w:t>
      </w:r>
    </w:p>
    <w:p w14:paraId="53D43A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  <w:t>特征：独立人格、独立财产、独立责任（《民法典》第57-108条）。</w:t>
      </w:r>
    </w:p>
    <w:p w14:paraId="2F9DD6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  <w:t>3. 诉讼时效的客体与效力：</w:t>
      </w:r>
    </w:p>
    <w:p w14:paraId="3A3E05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  <w:t>客体：主要指请求权（如合同履行请求权、损害赔偿请求权）。</w:t>
      </w:r>
    </w:p>
    <w:p w14:paraId="0C6A90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  <w:t>效力：时效届满后，义务人获得抗辩权（不得强制履行），但实体权利不消灭（《民法典》第192条）。</w:t>
      </w:r>
    </w:p>
    <w:p w14:paraId="3C8B92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i w:val="0"/>
          <w:iCs w:val="0"/>
          <w:lang w:val="en-US" w:eastAsia="zh-Hans"/>
        </w:rPr>
      </w:pPr>
      <w:r>
        <w:rPr>
          <w:rFonts w:hint="eastAsia" w:ascii="宋体" w:hAnsi="宋体" w:eastAsia="宋体" w:cs="宋体"/>
          <w:b/>
          <w:bCs/>
          <w:i w:val="0"/>
          <w:iCs w:val="0"/>
          <w:lang w:val="en-US" w:eastAsia="zh-Hans"/>
        </w:rPr>
        <w:t>五、案例分析题</w:t>
      </w:r>
    </w:p>
    <w:p w14:paraId="6ADBEE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  <w:t>案例一</w:t>
      </w:r>
    </w:p>
    <w:p w14:paraId="74AA5E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  <w:t>（1）合同效力待定。甲15周岁，属限制民事行为能力人，签订2万元的电脑买卖合同超出其年龄、智力范围（《民法典》第19条），需法定代理人追认。</w:t>
      </w:r>
    </w:p>
    <w:p w14:paraId="4A049C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  <w:t>（2）构成欺诈。甲故意隐瞒电脑进水事实，使乙陷入错误认识并订立合同（《民法典》第148条）。乙可主张撤销合同（除斥期间1年）。</w:t>
      </w:r>
    </w:p>
    <w:p w14:paraId="6A2241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  <w:t>案例二</w:t>
      </w:r>
    </w:p>
    <w:p w14:paraId="4192A2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  <w:t>（1）合同生效，但丁未取得所有权。合同自双方意思表示一致时生效（《民法典》第502条）；房屋所有权未转移，因未办理过户登记（区分原则，《民法典》第214条）。</w:t>
      </w:r>
    </w:p>
    <w:p w14:paraId="6AB205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Hans"/>
        </w:rPr>
        <w:t>（2）租赁合同有效。丁虽未取得所有权，但有权出租（有权占有即可出租）。丙不能要求戊腾退（“买卖不破租赁”，《民法典》第725条）。</w:t>
      </w:r>
      <w:bookmarkStart w:id="0" w:name="_GoBack"/>
      <w:bookmarkEnd w:id="0"/>
    </w:p>
    <w:p w14:paraId="59B82AC8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4CDC3DF"/>
    <w:multiLevelType w:val="singleLevel"/>
    <w:tmpl w:val="C4CDC3D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5E3008F"/>
    <w:multiLevelType w:val="singleLevel"/>
    <w:tmpl w:val="55E3008F"/>
    <w:lvl w:ilvl="0" w:tentative="0">
      <w:start w:val="2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8279C8"/>
    <w:rsid w:val="1D827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2025-12-13T01:22:00Z</dcterms:created>
  <dc:creator>黄岩育华李才聪</dc:creator>
  <cp:lastModifiedBy>黄岩育华李才聪</cp:lastModifiedBy>
  <dcterms:modified xsi:type="dcterms:W3CDTF">2025-12-13T01:34:56Z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331EAE81D1F9407392547CA0AF9CB542_11</vt:lpwstr>
  </property>
  <property fmtid="{D5CDD505-2E9C-101B-9397-08002B2CF9AE}" pid="4" name="KSOTemplateDocerSaveRecord">
    <vt:lpwstr>eyJoZGlkIjoiZmQ4ZTQyZDdmOTI0NjQ5MTBlMjM4MTBkY2Y5N2MwMzYiLCJ1c2VySWQiOiI0NTY2Nzc2NjkifQ==</vt:lpwstr>
  </property>
</Properties>
</file>