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ind w:left="-420" w:leftChars="-200" w:firstLine="492" w:firstLineChars="175"/>
        <w:jc w:val="center"/>
        <w:textAlignment w:val="auto"/>
        <w:rPr>
          <w:rFonts w:hint="eastAsia" w:asciiTheme="minorEastAsia" w:hAnsiTheme="minorEastAsia" w:eastAsiaTheme="minorEastAsia" w:cstheme="minorEastAsia"/>
          <w:color w:val="000000"/>
          <w:sz w:val="24"/>
          <w:szCs w:val="24"/>
          <w:u w:val="single"/>
          <w:lang w:val="en-US" w:eastAsia="zh-CN"/>
        </w:rPr>
      </w:pPr>
      <w:r>
        <w:rPr>
          <w:rFonts w:hint="eastAsia" w:asciiTheme="minorEastAsia" w:hAnsiTheme="minorEastAsia" w:eastAsiaTheme="minorEastAsia" w:cstheme="minorEastAsia"/>
          <w:b/>
          <w:bCs/>
          <w:color w:val="000000"/>
          <w:sz w:val="28"/>
          <w:szCs w:val="28"/>
          <w:u w:val="single"/>
          <w:lang w:val="en-US" w:eastAsia="zh-CN"/>
        </w:rPr>
        <w:t>民法专题</w:t>
      </w:r>
      <w:bookmarkStart w:id="0" w:name="_GoBack"/>
      <w:bookmarkEnd w:id="0"/>
      <w:r>
        <w:rPr>
          <w:rFonts w:hint="eastAsia" w:asciiTheme="minorEastAsia" w:hAnsiTheme="minorEastAsia" w:eastAsiaTheme="minorEastAsia" w:cstheme="minorEastAsia"/>
          <w:b/>
          <w:bCs/>
          <w:color w:val="000000"/>
          <w:sz w:val="28"/>
          <w:szCs w:val="28"/>
          <w:u w:val="single"/>
          <w:lang w:val="en-US" w:eastAsia="zh-CN"/>
        </w:rPr>
        <w:t>复 习 资 料</w:t>
      </w:r>
    </w:p>
    <w:p>
      <w:pPr>
        <w:numPr>
          <w:ilvl w:val="0"/>
          <w:numId w:val="1"/>
        </w:numP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单项选择题</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1、依我国《民法通则》规定，自然人的民事权利能力从(  A  )开始。</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A、出生                             B、年满10周岁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C、年满16周岁                      D、年满18周岁</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2、下列物中属于主物与从物关系的是(  C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A、房屋和门窗                       B、门窗和锁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C、锁和钥匙                         D、房屋和钥匙</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3、所有人不明的埋藏物、隐藏物应归(    B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A、发现人所有</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B、国家所有</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C、发现人单位所有</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D、发现人与国家共有</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4、土地承包经营权属于民法中的(   D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A、自物权</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B、从物权</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C、担保物权</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D、用益物权</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5、抵押权消灭的原因是(   B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A、主债权转让</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B、抵押权实现</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C、抵押权人死亡</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D、抵押人死亡</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6、下列物权中属于担保物权的是(   A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A、留置权</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B、土地承包权</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C、国有土地使用权</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D、采矿权</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7、下列不可以作为提存标的物的是(   D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A、货币</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B、权利证书</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C、票据</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D、劳务</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8、甲见丙的门口栓着一条狗，就上前挑逗，恰逢乙路过，该狗窜上将乙咬伤。经查，该狗是丙为丁代养的。对乙的伤害，应由(  C  )负责赔偿。</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A、丁                               B、丙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C、甲                               D、丙、丁</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9、下列物中，属于限制流通物的是(   A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A、文物                           </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B、矿藏</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C、水流</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D、房屋</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10、债务人向债权人表示同意延期履行拖欠的债务，这将引起诉讼时效(   C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A、延长</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B、中止</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C、中断</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D、暂停</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11、按民事权利效力范围的不同，可将其区分为(  B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A、原权和救济权</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B、相对权和绝对权</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C、主权利和从权利</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D、请求权和抗辩权</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12、可变更或可撤销民事行为在撤销之前(   C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A、无效</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B、效力待定</w:t>
      </w:r>
    </w:p>
    <w:p>
      <w:pPr>
        <w:numPr>
          <w:ilvl w:val="0"/>
          <w:numId w:val="0"/>
        </w:numPr>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C、有效</w:t>
      </w:r>
      <w:r>
        <w:rPr>
          <w:rFonts w:hint="eastAsia" w:asciiTheme="minorEastAsia" w:hAnsiTheme="minorEastAsia" w:eastAsiaTheme="minorEastAsia" w:cstheme="minorEastAsia"/>
          <w:sz w:val="28"/>
          <w:szCs w:val="28"/>
          <w:lang w:val="en-US" w:eastAsia="zh-CN"/>
        </w:rPr>
        <w:tab/>
      </w:r>
      <w:r>
        <w:rPr>
          <w:rFonts w:hint="eastAsia" w:asciiTheme="minorEastAsia" w:hAnsiTheme="minorEastAsia" w:eastAsiaTheme="minorEastAsia" w:cstheme="minorEastAsia"/>
          <w:sz w:val="28"/>
          <w:szCs w:val="28"/>
          <w:lang w:val="en-US" w:eastAsia="zh-CN"/>
        </w:rPr>
        <w:t xml:space="preserve">                            D、既非有效也非无效</w:t>
      </w:r>
    </w:p>
    <w:p>
      <w:pPr>
        <w:numPr>
          <w:ilvl w:val="0"/>
          <w:numId w:val="0"/>
        </w:numP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二、多项选择题</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1、附条件的民事法律行为所附条件应当是（  ACD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A、尚未发生的事实                           B、将来能够发生的事实</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C、在订立合同时不知道将来能否发生的事实     D、符合法律要求的事实</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2、下列诸债中，（   AB   ）属于法定之债。</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A、无因管理之债                             B、侵权行为之债</w:t>
      </w:r>
    </w:p>
    <w:p>
      <w:pPr>
        <w:numPr>
          <w:ilvl w:val="0"/>
          <w:numId w:val="0"/>
        </w:numPr>
        <w:ind w:firstLine="56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C、单方允诺之债                             D、合同之债</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3、下列责任形式中，属于民事责任形式的是(　 AB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A、恢复原状　                              B、赔偿损失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C、收缴非法所得　                          D、罚款</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4、民法的基本原则包括（   ABD   ）。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A、平等原则                                B、自愿原则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C、法制原则                                D、诚实信用原则</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5、赠与行为是（  BC ）。</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A、单方法律行为                            B、双方法律行为</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C、单务法律行为                            D、双务法律行为 </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6、可撤销和可变更的民事行为包括（   AB   ）。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A、重大误解的民事行为                      B、显失公平的民事行为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C、无权代理行为                            D、无权处分行</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7、债的发生根据包括（  ABCD ）。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A、侵权行为                                B、不当得利 </w:t>
      </w:r>
    </w:p>
    <w:p>
      <w:pPr>
        <w:numPr>
          <w:ilvl w:val="0"/>
          <w:numId w:val="0"/>
        </w:numPr>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C、无因管理                                D、缔约过失</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8、监护人的职责包括以下几项（   ACD   ）。 </w:t>
      </w:r>
    </w:p>
    <w:p>
      <w:pPr>
        <w:numPr>
          <w:ilvl w:val="0"/>
          <w:numId w:val="0"/>
        </w:numPr>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A、管理被监护人的财产                     B、处分被监护人的财产  </w:t>
      </w:r>
    </w:p>
    <w:p>
      <w:pPr>
        <w:numPr>
          <w:ilvl w:val="0"/>
          <w:numId w:val="0"/>
        </w:numPr>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C、保护被监护人的身体健康                 D、代理被监护人进行民事活动</w:t>
      </w:r>
    </w:p>
    <w:p>
      <w:pPr>
        <w:numPr>
          <w:ilvl w:val="0"/>
          <w:numId w:val="0"/>
        </w:numPr>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三、名词解释</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1、民事法律事实</w:t>
      </w:r>
    </w:p>
    <w:p>
      <w:pPr>
        <w:numPr>
          <w:ilvl w:val="0"/>
          <w:numId w:val="0"/>
        </w:numPr>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民事法律事实：是指法律规范所规定的，能引起民事法律关系产生、变更、消灭的客观情况。</w:t>
      </w:r>
    </w:p>
    <w:p>
      <w:pPr>
        <w:numPr>
          <w:ilvl w:val="0"/>
          <w:numId w:val="2"/>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无因管理</w:t>
      </w:r>
    </w:p>
    <w:p>
      <w:pPr>
        <w:numPr>
          <w:ilvl w:val="0"/>
          <w:numId w:val="0"/>
        </w:numPr>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无因管理：是指没有法定或约定的义务为他人管理事务的行为，这是债的发生的根据之一。</w:t>
      </w:r>
    </w:p>
    <w:p>
      <w:pPr>
        <w:numPr>
          <w:ilvl w:val="0"/>
          <w:numId w:val="2"/>
        </w:numPr>
        <w:ind w:left="0" w:leftChars="0" w:firstLine="0"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债</w:t>
      </w:r>
    </w:p>
    <w:p>
      <w:pPr>
        <w:numPr>
          <w:ilvl w:val="0"/>
          <w:numId w:val="0"/>
        </w:numPr>
        <w:ind w:leftChars="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债：是按照合同的约定或者依照法律的规定，在当事人之间产生的特定的权利和义务关系。</w:t>
      </w:r>
    </w:p>
    <w:p>
      <w:pPr>
        <w:numPr>
          <w:ilvl w:val="0"/>
          <w:numId w:val="2"/>
        </w:numPr>
        <w:ind w:left="0" w:leftChars="0" w:firstLine="0"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w:t>
      </w:r>
    </w:p>
    <w:p>
      <w:pPr>
        <w:numPr>
          <w:ilvl w:val="0"/>
          <w:numId w:val="0"/>
        </w:numPr>
        <w:ind w:leftChars="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法定代表人：依据法律和法人章程规定代表法人行使职权的负责人。</w:t>
      </w:r>
    </w:p>
    <w:p>
      <w:pPr>
        <w:numPr>
          <w:ilvl w:val="0"/>
          <w:numId w:val="2"/>
        </w:numPr>
        <w:ind w:left="0" w:leftChars="0" w:firstLine="0" w:firstLine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自愿原则</w:t>
      </w:r>
    </w:p>
    <w:p>
      <w:pPr>
        <w:rPr>
          <w:rFonts w:hint="eastAsia"/>
          <w:color w:val="000000"/>
          <w:sz w:val="28"/>
          <w:szCs w:val="28"/>
        </w:rPr>
      </w:pPr>
      <w:r>
        <w:rPr>
          <w:rFonts w:ascii="Arial" w:hAnsi="Arial" w:cs="Arial"/>
          <w:color w:val="333333"/>
          <w:sz w:val="28"/>
          <w:szCs w:val="28"/>
          <w:shd w:val="clear" w:color="auto" w:fill="FFFFFF"/>
        </w:rPr>
        <w:t>法律术语，自愿原则是中国</w:t>
      </w:r>
      <w:r>
        <w:rPr>
          <w:sz w:val="28"/>
          <w:szCs w:val="28"/>
        </w:rPr>
        <w:fldChar w:fldCharType="begin"/>
      </w:r>
      <w:r>
        <w:rPr>
          <w:sz w:val="28"/>
          <w:szCs w:val="28"/>
        </w:rPr>
        <w:instrText xml:space="preserve"> HYPERLINK "https://baike.baidu.com/item/%E6%B0%91%E6%B3%95%E7%9A%84%E5%9F%BA%E6%9C%AC%E5%8E%9F%E5%88%99" \t "_blank" </w:instrText>
      </w:r>
      <w:r>
        <w:rPr>
          <w:sz w:val="28"/>
          <w:szCs w:val="28"/>
        </w:rPr>
        <w:fldChar w:fldCharType="separate"/>
      </w:r>
      <w:r>
        <w:rPr>
          <w:rStyle w:val="7"/>
          <w:rFonts w:ascii="Arial" w:hAnsi="Arial" w:cs="Arial"/>
          <w:color w:val="136EC2"/>
          <w:sz w:val="28"/>
          <w:szCs w:val="28"/>
          <w:shd w:val="clear" w:color="auto" w:fill="FFFFFF"/>
        </w:rPr>
        <w:t>民法的基本原则</w:t>
      </w:r>
      <w:r>
        <w:rPr>
          <w:sz w:val="28"/>
          <w:szCs w:val="28"/>
        </w:rPr>
        <w:fldChar w:fldCharType="end"/>
      </w:r>
      <w:r>
        <w:rPr>
          <w:rFonts w:ascii="Arial" w:hAnsi="Arial" w:cs="Arial"/>
          <w:color w:val="333333"/>
          <w:sz w:val="28"/>
          <w:szCs w:val="28"/>
          <w:shd w:val="clear" w:color="auto" w:fill="FFFFFF"/>
        </w:rPr>
        <w:t>之一，它是指公民、法人等任何民事主体在市场交易和民事活动中都必须遵守自愿协商的原则，都有权按照自己的真实意愿独立自主地选择、决定交易对象和交易条件，建立和变更民事法律关系，并同时尊重对方的意愿和社会公共利益，不能将自己的意志强加给对方或任何第三方。只要进行交易或其他民事活动双方的交易等行为不违反法律规定，其他任何机关、团体、个人等第三方都不能干涉。以欺诈、强迫、威胁等违背交易主体意志的不正当竞争行为，都为法律所禁止。</w:t>
      </w:r>
    </w:p>
    <w:p>
      <w:pPr>
        <w:numPr>
          <w:ilvl w:val="0"/>
          <w:numId w:val="3"/>
        </w:numPr>
        <w:ind w:leftChars="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简答题</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1、简述留置权成立的积极要件。</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答：（1）须债权人占有一定的财产。</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（2）债权人占有的财产须为债务人的动产。</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（3）须债权人的债权与债务人的债务间有关联。</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（4）须债权已届清偿期</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2、简述遗赠扶养协议的特征。</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答：（1）遗赠扶养协议是一种双方法律行为。</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（2）遗赠扶养协议是诺成性的要式法律行为。</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（3）遗赠扶养协议是一种双务法律行为。</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（4）遗赠扶养协议是有偿法律行为。</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（5）遗赠扶养协议是公民生前对自己死亡后遗留下的财产的一种处置方式。</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3、一般侵权行为的构成要件</w:t>
      </w:r>
    </w:p>
    <w:p>
      <w:pPr>
        <w:numPr>
          <w:ilvl w:val="0"/>
          <w:numId w:val="0"/>
        </w:numPr>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1）损害后果。损害后果是指由一定的行为或事件而造成的他人人身或财产上的不利状态，包括财产损害和精神损害；（2）加害行为的违法性。加害行为就是侵权行为，包括作为和不作为两种，作为的侵权行为是指实施法律禁止的行为，不作为的侵权行为是不实施法律所要求的行为；（3）违法行为和损害后果之间有因果关系。侵权责任构成要件的因果关系应坚持因果关系的客观性、必然性和直接性；（4）过错，是指行为人在实施违法行为时，其对该行为将导致的结果所持的心理状态，包括故意和过失。</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4、诉讼时效中止与诉讼时效中断的区别</w:t>
      </w:r>
    </w:p>
    <w:p>
      <w:pPr>
        <w:numPr>
          <w:ilvl w:val="0"/>
          <w:numId w:val="0"/>
        </w:numPr>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诉讼时效中止与中断的区别主要在于以下三方面：(1)发生的法定事由性质不同。诉讼时效中止的事由是使权利人不能行使请求权的“不可抗力或者其他障碍”，属于不由当事入主观意志决定的客观情况；而诉讼时效中断的事由是“提起诉讼、当事人一方提出要求或者同意履行义务”，属于可由当事人主观意志决定的情形。(2)发生的时间不同。诉讼时效中止只能发生在诉讼时效期间的最后6个月内；而诉讼时效中断可发生在诉讼时效进行中的任何时间。(3)法律后果不同。诉讼时效中止只是使时效期间暂停计算，已经经过的时效期间仍然有效，于中止事由消除后继续计算诉讼时效期间；而诉讼时效的中断是使已经经过的时效期间全部归于无效，于中断事由消除后，重新另行计算诉讼时效期间。</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5、物权与债权的区别</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权与债权的区别：（1）物权为支配权，债权为请求权；（2）物权具有排他性，债权具有相容性；物权具有优先性，而债权具有平等性；物权具有追及性，而债权没有追及性；（3）物权为对世权，债权为对人权；（4）物权的客体是物，债权的客体是行为；（5）物权采用法定原则，债权多采取契约自由原则；（6）物权是静态财产权，债权是动态财产权。</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6、简述代位权的概念和成立条件。</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答：代位权是指当债务人怠于行使其对第三人享有的权利而害及债权人的债权时，债权人为保全自己的债权，可以自己的名义代位行使债务人对第三人的权利之权利。</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代位权的成立条件有：</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（1）债务人须对第三人享有权利。                                     </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（2）债务人怠于行使其权利。</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（3）债务人已陷入迟延。</w:t>
      </w:r>
    </w:p>
    <w:p>
      <w:pPr>
        <w:numPr>
          <w:ilvl w:val="0"/>
          <w:numId w:val="0"/>
        </w:numPr>
        <w:ind w:leftChars="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（4）有保全债权的必要</w:t>
      </w:r>
    </w:p>
    <w:p>
      <w:pPr>
        <w:numPr>
          <w:ilvl w:val="0"/>
          <w:numId w:val="3"/>
        </w:numPr>
        <w:ind w:leftChars="0"/>
        <w:rPr>
          <w:rFonts w:hint="default"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案分析题</w:t>
      </w:r>
    </w:p>
    <w:p>
      <w:pPr>
        <w:numPr>
          <w:ilvl w:val="0"/>
          <w:numId w:val="0"/>
        </w:numPr>
        <w:ind w:leftChars="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1、刘某与甲、乙、丙三人合伙开办了一个合伙企业。由刘某、甲、乙各出资2万元，丙提供技术入伙，与刘某、甲、乙平均分配盈余。四人办理了有关手续并租赁了房屋，但并未订立书面协议。经营中状况恶化，合伙组织曾向王某借款2万元，用于周转。半年后，甲想把自己的一部分财产份额转让给丁，刘某和乙同意，但丙不同意，并表示愿意受让甲某转让的那部分财产份额。因多数合伙人同意丁成为新的合伙人，丙于是提出退伙，刘某、甲、乙表示同意，故丙退出合伙，丁加入。丙退伙后半年，合伙组织散伙，又负新债6万元。</w:t>
      </w:r>
    </w:p>
    <w:p>
      <w:pPr>
        <w:numPr>
          <w:ilvl w:val="0"/>
          <w:numId w:val="0"/>
        </w:numPr>
        <w:ind w:leftChars="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根据案情，请回答下列问题：</w:t>
      </w:r>
    </w:p>
    <w:p>
      <w:pPr>
        <w:numPr>
          <w:ilvl w:val="0"/>
          <w:numId w:val="0"/>
        </w:numPr>
        <w:ind w:leftChars="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（1）该合伙关系是否成立？为什么？</w:t>
      </w:r>
    </w:p>
    <w:p>
      <w:pPr>
        <w:numPr>
          <w:ilvl w:val="0"/>
          <w:numId w:val="0"/>
        </w:numPr>
        <w:ind w:leftChars="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（2）丙可否作为合伙人？为什么？</w:t>
      </w:r>
    </w:p>
    <w:p>
      <w:pPr>
        <w:numPr>
          <w:ilvl w:val="0"/>
          <w:numId w:val="0"/>
        </w:numPr>
        <w:ind w:leftChars="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（3）甲转让财产份额的行为是否有效？为什么？</w:t>
      </w:r>
    </w:p>
    <w:p>
      <w:pPr>
        <w:numPr>
          <w:ilvl w:val="0"/>
          <w:numId w:val="0"/>
        </w:numPr>
        <w:ind w:leftChars="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（4）丙某是否可以退伙？为什么？</w:t>
      </w:r>
    </w:p>
    <w:p>
      <w:pPr>
        <w:numPr>
          <w:ilvl w:val="0"/>
          <w:numId w:val="0"/>
        </w:numPr>
        <w:ind w:leftChars="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（5）若企业解散后，债权人王某要求丙偿还2万元债务，而丙某有无偿还债务的义务？为什么？对该债务丁是否承担责任？为什么？</w:t>
      </w:r>
    </w:p>
    <w:p>
      <w:pPr>
        <w:numPr>
          <w:ilvl w:val="0"/>
          <w:numId w:val="0"/>
        </w:numPr>
        <w:ind w:leftChars="0"/>
        <w:rPr>
          <w:rFonts w:hint="default" w:asciiTheme="minorEastAsia" w:hAnsiTheme="minorEastAsia" w:eastAsiaTheme="minorEastAsia" w:cstheme="minorEastAsia"/>
          <w:sz w:val="28"/>
          <w:szCs w:val="28"/>
          <w:lang w:val="en-US" w:eastAsia="zh-CN"/>
        </w:rPr>
      </w:pPr>
      <w:r>
        <w:rPr>
          <w:rFonts w:hint="default" w:asciiTheme="minorEastAsia" w:hAnsiTheme="minorEastAsia" w:eastAsiaTheme="minorEastAsia" w:cstheme="minorEastAsia"/>
          <w:sz w:val="28"/>
          <w:szCs w:val="28"/>
          <w:lang w:val="en-US" w:eastAsia="zh-CN"/>
        </w:rPr>
        <w:t>（6）丙某退伙后，合伙组织另外所负6万元的债务应由谁负担？</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答：（1）能够成立，因为根据《民通》及《意见》的相关规定：当事人之间没有书面合伙协议，但实际上具备了合伙成立的有效要件，并办理了有关手续的，可以认定为合伙关系。 </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（2）丙可以作为合伙人。因为按照民通之规定，合伙人可以技术出资。 </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（3）甲的行为无效，因为其转让合伙财产必须经得全体合伙人之同意。 </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（4）丙可以退伙，因为其退伙时经过当时的全体合伙人的同意。 </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（5）丙有义务。因为根据民通规定，合伙人后对其原合伙的债务承担连带责任。丁也负有清偿责任，因为根据民通规定，入伙的合伙人对入伙前的合伙企业的债务承担连带责任。 </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（6）甲、乙、刘某、丁承担。</w:t>
      </w:r>
    </w:p>
    <w:p>
      <w:pPr>
        <w:shd w:val="solid" w:color="FFFFFF" w:fill="auto"/>
        <w:kinsoku/>
        <w:autoSpaceDE/>
        <w:autoSpaceDN w:val="0"/>
        <w:snapToGrid w:val="0"/>
        <w:spacing w:line="360" w:lineRule="auto"/>
        <w:jc w:val="left"/>
        <w:rPr>
          <w:rFonts w:hint="default" w:ascii="Arial"/>
          <w:snapToGrid/>
          <w:color w:val="000000"/>
          <w:sz w:val="28"/>
          <w:shd w:val="clear" w:color="auto" w:fill="FFFFFF"/>
        </w:rPr>
      </w:pPr>
      <w:r>
        <w:rPr>
          <w:rFonts w:hint="eastAsia" w:asciiTheme="minorEastAsia" w:hAnsiTheme="minorEastAsia" w:eastAsiaTheme="minorEastAsia" w:cstheme="minorEastAsia"/>
          <w:sz w:val="28"/>
          <w:szCs w:val="28"/>
          <w:lang w:val="en-US" w:eastAsia="zh-CN"/>
        </w:rPr>
        <w:t>2、</w:t>
      </w:r>
      <w:r>
        <w:rPr>
          <w:rFonts w:hint="default" w:ascii="宋体" w:hAnsi="宋体" w:eastAsia="宋体"/>
          <w:snapToGrid/>
          <w:color w:val="000000"/>
          <w:sz w:val="28"/>
          <w:shd w:val="clear" w:color="auto" w:fill="FFFFFF"/>
          <w:lang w:eastAsia="zh-CN"/>
        </w:rPr>
        <w:t>2、某甲应于1999年10月30日前向乙交付设备租金10万元，但到期甲并未交付，乙也未向甲索要。2000年12月20日，乙在清理账目时发现甲还欠租金，就向甲索要，甲即于第二天向乙给付了10万元租金。事后，甲的律师告诉甲，此笔租金因诉讼时效已过，可不给付。于是甲就要求乙将其交的款还给甲，而乙拒不返还。甲即以乙得到10万元为不当得利应返还为由向法院起诉。</w:t>
      </w:r>
    </w:p>
    <w:p>
      <w:pPr>
        <w:shd w:val="solid" w:color="FFFFFF" w:fill="auto"/>
        <w:kinsoku/>
        <w:autoSpaceDE/>
        <w:autoSpaceDN w:val="0"/>
        <w:snapToGrid w:val="0"/>
        <w:spacing w:line="360" w:lineRule="auto"/>
        <w:jc w:val="left"/>
        <w:rPr>
          <w:rFonts w:hint="default" w:ascii="Arial"/>
          <w:snapToGrid/>
          <w:color w:val="000000"/>
          <w:sz w:val="28"/>
          <w:shd w:val="clear" w:color="auto" w:fill="FFFFFF"/>
        </w:rPr>
      </w:pPr>
      <w:r>
        <w:rPr>
          <w:rFonts w:hint="default" w:ascii="宋体" w:hAnsi="宋体" w:eastAsia="宋体"/>
          <w:snapToGrid/>
          <w:color w:val="000000"/>
          <w:sz w:val="28"/>
          <w:shd w:val="clear" w:color="auto" w:fill="FFFFFF"/>
          <w:lang w:eastAsia="zh-CN"/>
        </w:rPr>
        <w:t>根据案情，请回答下列问题：</w:t>
      </w:r>
    </w:p>
    <w:p>
      <w:pPr>
        <w:shd w:val="solid" w:color="FFFFFF" w:fill="auto"/>
        <w:kinsoku/>
        <w:autoSpaceDE/>
        <w:autoSpaceDN w:val="0"/>
        <w:snapToGrid w:val="0"/>
        <w:spacing w:line="360" w:lineRule="auto"/>
        <w:jc w:val="left"/>
        <w:rPr>
          <w:rFonts w:hint="default" w:ascii="Arial"/>
          <w:snapToGrid/>
          <w:color w:val="000000"/>
          <w:sz w:val="28"/>
          <w:shd w:val="clear" w:color="auto" w:fill="FFFFFF"/>
        </w:rPr>
      </w:pPr>
      <w:r>
        <w:rPr>
          <w:rFonts w:hint="default" w:ascii="宋体" w:hAnsi="宋体" w:eastAsia="宋体"/>
          <w:snapToGrid/>
          <w:color w:val="000000"/>
          <w:sz w:val="28"/>
          <w:shd w:val="clear" w:color="auto" w:fill="FFFFFF"/>
          <w:lang w:eastAsia="zh-CN"/>
        </w:rPr>
        <w:t>（1）乙请求甲给付租金的请求权是否已过诉讼时效?</w:t>
      </w:r>
    </w:p>
    <w:p>
      <w:pPr>
        <w:shd w:val="solid" w:color="FFFFFF" w:fill="auto"/>
        <w:kinsoku/>
        <w:autoSpaceDE/>
        <w:autoSpaceDN w:val="0"/>
        <w:snapToGrid w:val="0"/>
        <w:spacing w:line="360" w:lineRule="auto"/>
        <w:jc w:val="left"/>
        <w:rPr>
          <w:rFonts w:hint="default" w:ascii="Arial"/>
          <w:snapToGrid/>
          <w:color w:val="000000"/>
          <w:sz w:val="28"/>
          <w:shd w:val="clear" w:color="auto" w:fill="FFFFFF"/>
        </w:rPr>
      </w:pPr>
      <w:r>
        <w:rPr>
          <w:rFonts w:hint="default" w:ascii="宋体" w:hAnsi="宋体" w:eastAsia="宋体"/>
          <w:snapToGrid/>
          <w:color w:val="000000"/>
          <w:sz w:val="28"/>
          <w:shd w:val="clear" w:color="auto" w:fill="FFFFFF"/>
          <w:lang w:eastAsia="zh-CN"/>
        </w:rPr>
        <w:t>（2）若诉讼时效期间届满，乙应否向甲返还所收的10万元?</w:t>
      </w:r>
    </w:p>
    <w:p>
      <w:pPr>
        <w:numPr>
          <w:ilvl w:val="0"/>
          <w:numId w:val="0"/>
        </w:numPr>
        <w:ind w:leftChars="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答：(1)乙请求甲给付租金的请求权诉讼时效已过，因依我国《民法通则》规定，延付或拒付租金的诉讼时效期间为1年，甲延付租金的期限已超过1年，这期间也未发生时效中断、中止的事由。</w:t>
      </w:r>
    </w:p>
    <w:p>
      <w:pPr>
        <w:numPr>
          <w:ilvl w:val="0"/>
          <w:numId w:val="0"/>
        </w:numPr>
        <w:ind w:leftChars="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(2)乙可不向甲返还。因为超过诉讼时效期间，债务人自愿履行的，不受诉讼时效的限制。乙的请求权的诉讼时效期间虽届满，但其权利并未消灭，甲自愿履行债务的，乙有权受领，其所得不属于不当得利.</w:t>
      </w:r>
    </w:p>
    <w:sectPr>
      <w:footerReference r:id="rId3" w:type="default"/>
      <w:pgSz w:w="11906" w:h="16838"/>
      <w:pgMar w:top="1440" w:right="846" w:bottom="1440" w:left="98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5</w:t>
                          </w:r>
                          <w:r>
                            <w:rPr>
                              <w:rFonts w:hint="eastAsia"/>
                              <w:sz w:val="21"/>
                              <w:szCs w:val="21"/>
                              <w:lang w:eastAsia="zh-CN"/>
                            </w:rPr>
                            <w:fldChar w:fldCharType="end"/>
                          </w:r>
                          <w:r>
                            <w:rPr>
                              <w:rFonts w:hint="eastAsia"/>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宋体"/>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5</w:t>
                    </w:r>
                    <w:r>
                      <w:rPr>
                        <w:rFonts w:hint="eastAsia"/>
                        <w:sz w:val="21"/>
                        <w:szCs w:val="21"/>
                        <w:lang w:eastAsia="zh-CN"/>
                      </w:rPr>
                      <w:fldChar w:fldCharType="end"/>
                    </w:r>
                    <w:r>
                      <w:rPr>
                        <w:rFonts w:hint="eastAsia"/>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2E6716"/>
    <w:multiLevelType w:val="singleLevel"/>
    <w:tmpl w:val="852E6716"/>
    <w:lvl w:ilvl="0" w:tentative="0">
      <w:start w:val="1"/>
      <w:numFmt w:val="chineseCounting"/>
      <w:suff w:val="nothing"/>
      <w:lvlText w:val="%1、"/>
      <w:lvlJc w:val="left"/>
      <w:rPr>
        <w:rFonts w:hint="eastAsia"/>
      </w:rPr>
    </w:lvl>
  </w:abstractNum>
  <w:abstractNum w:abstractNumId="1">
    <w:nsid w:val="D1142629"/>
    <w:multiLevelType w:val="singleLevel"/>
    <w:tmpl w:val="D1142629"/>
    <w:lvl w:ilvl="0" w:tentative="0">
      <w:start w:val="4"/>
      <w:numFmt w:val="chineseCounting"/>
      <w:suff w:val="nothing"/>
      <w:lvlText w:val="%1、"/>
      <w:lvlJc w:val="left"/>
      <w:rPr>
        <w:rFonts w:hint="eastAsia"/>
      </w:rPr>
    </w:lvl>
  </w:abstractNum>
  <w:abstractNum w:abstractNumId="2">
    <w:nsid w:val="5EF25504"/>
    <w:multiLevelType w:val="singleLevel"/>
    <w:tmpl w:val="5EF25504"/>
    <w:lvl w:ilvl="0" w:tentative="0">
      <w:start w:val="2"/>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D54945"/>
    <w:rsid w:val="0CD54945"/>
    <w:rsid w:val="0F800E44"/>
    <w:rsid w:val="19916B6B"/>
    <w:rsid w:val="1BD32514"/>
    <w:rsid w:val="356F0662"/>
    <w:rsid w:val="368D1CA6"/>
    <w:rsid w:val="385F5EF3"/>
    <w:rsid w:val="742D2140"/>
    <w:rsid w:val="7F9716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widowControl/>
      <w:spacing w:line="260" w:lineRule="atLeast"/>
      <w:ind w:firstLine="380"/>
      <w:jc w:val="left"/>
    </w:pPr>
    <w:rPr>
      <w:rFonts w:ascii="_x000B__x000C_" w:hAnsi="_x000B__x000C_"/>
      <w:kern w:val="0"/>
      <w:sz w:val="18"/>
      <w:szCs w:val="18"/>
    </w:rPr>
  </w:style>
  <w:style w:type="character" w:styleId="7">
    <w:name w:val="Hyperlink"/>
    <w:unhideWhenUsed/>
    <w:qFormat/>
    <w:uiPriority w:val="99"/>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2020-02-22T11:50:00Z</dcterms:created>
  <dc:creator>罗超群</dc:creator>
  <cp:lastModifiedBy>罗超群</cp:lastModifiedBy>
  <dcterms:modified xsi:type="dcterms:W3CDTF">2020-02-22T13:56:56Z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