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adjustRightInd w:val="0"/>
        <w:snapToGrid w:val="0"/>
        <w:spacing w:line="400" w:lineRule="exact"/>
        <w:jc w:val="center"/>
        <w:rPr>
          <w:rFonts w:hint="eastAsia" w:ascii="Arial" w:hAnsi="Arial" w:eastAsiaTheme="minorEastAsia"/>
          <w:b/>
          <w:snapToGrid w:val="0"/>
          <w:kern w:val="0"/>
          <w:lang w:val="en-US" w:eastAsia="zh-CN"/>
        </w:rPr>
      </w:pPr>
      <w:r>
        <w:rPr>
          <w:rFonts w:hint="eastAsia" w:ascii="Arial" w:hAnsi="Arial"/>
          <w:b/>
          <w:snapToGrid w:val="0"/>
          <w:kern w:val="0"/>
          <w:sz w:val="32"/>
        </w:rPr>
        <w:t>《</w:t>
      </w:r>
      <w:r>
        <w:rPr>
          <w:rFonts w:hint="eastAsia" w:ascii="Courier New" w:hAnsi="Courier New"/>
          <w:b/>
          <w:snapToGrid w:val="0"/>
          <w:kern w:val="0"/>
          <w:sz w:val="32"/>
        </w:rPr>
        <w:t>水污染控制工程</w:t>
      </w:r>
      <w:r>
        <w:rPr>
          <w:rFonts w:hint="eastAsia" w:ascii="Arial" w:hAnsi="Arial"/>
          <w:b/>
          <w:snapToGrid w:val="0"/>
          <w:kern w:val="0"/>
          <w:sz w:val="32"/>
        </w:rPr>
        <w:t>》</w:t>
      </w:r>
      <w:r>
        <w:rPr>
          <w:rFonts w:hint="eastAsia" w:ascii="Arial" w:hAnsi="Arial"/>
          <w:b/>
          <w:snapToGrid w:val="0"/>
          <w:kern w:val="0"/>
          <w:sz w:val="32"/>
          <w:lang w:eastAsia="zh-CN"/>
        </w:rPr>
        <w:t>复习资料及答案</w:t>
      </w:r>
    </w:p>
    <w:p>
      <w:pPr>
        <w:widowControl/>
        <w:spacing w:line="400" w:lineRule="exact"/>
        <w:jc w:val="left"/>
        <w:rPr>
          <w:rFonts w:hAnsi="宋体" w:eastAsia="黑体" w:cs="宋体"/>
          <w:color w:val="FF0000"/>
          <w:kern w:val="0"/>
          <w:sz w:val="24"/>
        </w:rPr>
      </w:pPr>
      <w:r>
        <w:rPr>
          <w:rFonts w:hint="eastAsia" w:hAnsi="宋体" w:eastAsia="黑体" w:cs="宋体"/>
          <w:color w:val="FF0000"/>
          <w:kern w:val="0"/>
          <w:sz w:val="24"/>
        </w:rPr>
        <w:t>一</w:t>
      </w:r>
      <w:r>
        <w:rPr>
          <w:rFonts w:hAnsi="宋体" w:eastAsia="黑体" w:cs="宋体"/>
          <w:color w:val="FF0000"/>
          <w:kern w:val="0"/>
          <w:sz w:val="24"/>
        </w:rPr>
        <w:t>、名词解释</w:t>
      </w:r>
    </w:p>
    <w:p>
      <w:pPr>
        <w:autoSpaceDE w:val="0"/>
        <w:autoSpaceDN w:val="0"/>
        <w:adjustRightInd w:val="0"/>
        <w:spacing w:line="400" w:lineRule="exact"/>
        <w:rPr>
          <w:bCs/>
          <w:szCs w:val="21"/>
        </w:rPr>
      </w:pPr>
      <w:r>
        <w:rPr>
          <w:b/>
          <w:color w:val="0000FF"/>
          <w:szCs w:val="21"/>
        </w:rPr>
        <w:t xml:space="preserve">1. </w:t>
      </w:r>
      <w:r>
        <w:rPr>
          <w:b/>
          <w:color w:val="0000FF"/>
          <w:szCs w:val="21"/>
          <w:lang w:val="zh-CN"/>
        </w:rPr>
        <w:t>活性污泥</w:t>
      </w:r>
      <w:r>
        <w:rPr>
          <w:rFonts w:hint="eastAsia"/>
          <w:b/>
          <w:color w:val="0000FF"/>
          <w:szCs w:val="21"/>
          <w:lang w:val="zh-CN"/>
        </w:rPr>
        <w:t>法</w:t>
      </w:r>
      <w:r>
        <w:rPr>
          <w:b/>
          <w:color w:val="0000FF"/>
          <w:szCs w:val="21"/>
          <w:lang w:val="zh-CN"/>
        </w:rPr>
        <w:t>：</w:t>
      </w:r>
      <w:r>
        <w:rPr>
          <w:rFonts w:hint="eastAsia"/>
          <w:bCs/>
          <w:szCs w:val="21"/>
        </w:rPr>
        <w:t>是一种污水好氧生物处理的基本工艺。在曝气池中，其活性污泥</w:t>
      </w:r>
      <w:r>
        <w:rPr>
          <w:bCs/>
          <w:szCs w:val="21"/>
        </w:rPr>
        <w:t>主要是由多种好氧微生物、某些兼性或厌氧微生物以及废水中的固体物质、胶体等交织在一起的呈黄褐色絮体</w:t>
      </w:r>
      <w:r>
        <w:rPr>
          <w:rFonts w:hint="eastAsia"/>
          <w:bCs/>
          <w:szCs w:val="21"/>
        </w:rPr>
        <w:t>，具有良好的净化污水功能。</w:t>
      </w:r>
    </w:p>
    <w:p>
      <w:pPr>
        <w:spacing w:line="400" w:lineRule="exact"/>
        <w:rPr>
          <w:kern w:val="0"/>
          <w:szCs w:val="21"/>
        </w:rPr>
      </w:pPr>
      <w:r>
        <w:rPr>
          <w:rFonts w:hint="eastAsia"/>
          <w:b/>
          <w:color w:val="0000FF"/>
          <w:szCs w:val="21"/>
        </w:rPr>
        <w:t>2</w:t>
      </w:r>
      <w:r>
        <w:rPr>
          <w:b/>
          <w:color w:val="0000FF"/>
          <w:szCs w:val="21"/>
        </w:rPr>
        <w:t xml:space="preserve">. </w:t>
      </w:r>
      <w:r>
        <w:rPr>
          <w:rFonts w:hint="eastAsia"/>
          <w:b/>
          <w:color w:val="0000FF"/>
          <w:szCs w:val="21"/>
          <w:lang w:val="zh-CN"/>
        </w:rPr>
        <w:t>电性中和</w:t>
      </w:r>
      <w:r>
        <w:rPr>
          <w:b/>
          <w:color w:val="0000FF"/>
          <w:szCs w:val="21"/>
          <w:lang w:val="zh-CN"/>
        </w:rPr>
        <w:t>：</w:t>
      </w:r>
      <w:r>
        <w:rPr>
          <w:bCs/>
          <w:szCs w:val="21"/>
        </w:rPr>
        <w:t>水中的胶体粒子一般带有负电荷，在负电性的胶核的外层，吸附有带正电荷的反离子层，构成了胶体的双电层结构。当投入铁盐或铝盐等混凝剂后，提供了大量的正离子，这些正离子可不断通过扩散层和吸附层，通过电性中和作用，使扩散层和吸附层变薄，胶粒与扩散层之间的ζ电位降低或消失，使胶粒失稳和凝聚，就是加入混凝剂起到的</w:t>
      </w:r>
      <w:r>
        <w:rPr>
          <w:rFonts w:hint="eastAsia"/>
          <w:bCs/>
          <w:szCs w:val="21"/>
        </w:rPr>
        <w:t>电性中和及</w:t>
      </w:r>
      <w:r>
        <w:rPr>
          <w:bCs/>
          <w:szCs w:val="21"/>
        </w:rPr>
        <w:t>压缩双电层作用。</w:t>
      </w:r>
    </w:p>
    <w:p>
      <w:pPr>
        <w:autoSpaceDE w:val="0"/>
        <w:autoSpaceDN w:val="0"/>
        <w:adjustRightInd w:val="0"/>
        <w:spacing w:line="400" w:lineRule="exact"/>
        <w:rPr>
          <w:szCs w:val="21"/>
        </w:rPr>
      </w:pPr>
      <w:r>
        <w:rPr>
          <w:b/>
          <w:color w:val="0000FF"/>
          <w:szCs w:val="21"/>
        </w:rPr>
        <w:t>3.</w:t>
      </w:r>
      <w:r>
        <w:rPr>
          <w:color w:val="0000FF"/>
          <w:szCs w:val="21"/>
        </w:rPr>
        <w:t xml:space="preserve"> </w:t>
      </w:r>
      <w:r>
        <w:rPr>
          <w:b/>
          <w:color w:val="0000FF"/>
          <w:szCs w:val="21"/>
          <w:lang w:val="zh-CN"/>
        </w:rPr>
        <w:t>污泥体积指数：</w:t>
      </w:r>
      <w:r>
        <w:rPr>
          <w:rFonts w:hint="eastAsia"/>
          <w:bCs/>
          <w:szCs w:val="21"/>
        </w:rPr>
        <w:t>即SVI，测定时，</w:t>
      </w:r>
      <w:r>
        <w:rPr>
          <w:bCs/>
          <w:szCs w:val="21"/>
        </w:rPr>
        <w:t xml:space="preserve">取曝气池出口处的混合液，在1000ML量筒中经过30min静止沉降后，每g干污泥所形成的沉淀污泥所占的体积，单位是 </w:t>
      </w:r>
      <w:r>
        <w:rPr>
          <w:bCs/>
          <w:iCs/>
          <w:szCs w:val="21"/>
        </w:rPr>
        <w:t>mL</w:t>
      </w:r>
      <w:r>
        <w:rPr>
          <w:bCs/>
          <w:i/>
          <w:iCs/>
          <w:szCs w:val="21"/>
        </w:rPr>
        <w:t>/</w:t>
      </w:r>
      <w:r>
        <w:rPr>
          <w:bCs/>
          <w:iCs/>
          <w:szCs w:val="21"/>
        </w:rPr>
        <w:t>g</w:t>
      </w:r>
      <w:r>
        <w:rPr>
          <w:bCs/>
          <w:szCs w:val="21"/>
        </w:rPr>
        <w:t>。</w:t>
      </w:r>
    </w:p>
    <w:p>
      <w:pPr>
        <w:pStyle w:val="4"/>
        <w:spacing w:before="0" w:beforeAutospacing="0" w:after="0" w:afterAutospacing="0" w:line="400" w:lineRule="exact"/>
        <w:rPr>
          <w:rFonts w:ascii="Times New Roman" w:hAnsi="Times New Roman"/>
          <w:sz w:val="21"/>
          <w:szCs w:val="21"/>
        </w:rPr>
      </w:pPr>
      <w:r>
        <w:rPr>
          <w:rFonts w:hint="eastAsia" w:ascii="Times New Roman" w:hAnsi="Times New Roman"/>
          <w:b/>
          <w:color w:val="0000FF"/>
          <w:sz w:val="21"/>
          <w:szCs w:val="21"/>
        </w:rPr>
        <w:t>4</w:t>
      </w:r>
      <w:r>
        <w:rPr>
          <w:rFonts w:ascii="Times New Roman" w:hAnsi="Times New Roman"/>
          <w:b/>
          <w:color w:val="0000FF"/>
          <w:sz w:val="21"/>
          <w:szCs w:val="21"/>
        </w:rPr>
        <w:t>.</w:t>
      </w:r>
      <w:r>
        <w:rPr>
          <w:rFonts w:ascii="Times New Roman" w:hAnsi="Times New Roman"/>
          <w:color w:val="0000FF"/>
          <w:sz w:val="21"/>
          <w:szCs w:val="21"/>
        </w:rPr>
        <w:t xml:space="preserve"> </w:t>
      </w:r>
      <w:r>
        <w:rPr>
          <w:rFonts w:ascii="Times New Roman"/>
          <w:b/>
          <w:color w:val="0000FF"/>
          <w:sz w:val="21"/>
          <w:szCs w:val="21"/>
          <w:lang w:val="zh-CN"/>
        </w:rPr>
        <w:t>生物接触氧化</w:t>
      </w:r>
      <w:r>
        <w:rPr>
          <w:rFonts w:hint="eastAsia" w:ascii="Times New Roman"/>
          <w:b/>
          <w:color w:val="0000FF"/>
          <w:sz w:val="21"/>
          <w:szCs w:val="21"/>
          <w:lang w:val="zh-CN"/>
        </w:rPr>
        <w:t>法</w:t>
      </w:r>
      <w:r>
        <w:rPr>
          <w:rFonts w:ascii="Times New Roman"/>
          <w:b/>
          <w:color w:val="0000FF"/>
          <w:sz w:val="21"/>
          <w:szCs w:val="21"/>
          <w:lang w:val="zh-CN"/>
        </w:rPr>
        <w:t>：</w:t>
      </w:r>
      <w:r>
        <w:rPr>
          <w:rFonts w:ascii="Times New Roman" w:hAnsi="Times New Roman"/>
          <w:bCs/>
          <w:kern w:val="2"/>
          <w:sz w:val="21"/>
          <w:szCs w:val="21"/>
        </w:rPr>
        <w:t>又称之为浸没式曝气生物滤池</w:t>
      </w:r>
      <w:r>
        <w:rPr>
          <w:rFonts w:hint="eastAsia" w:ascii="Times New Roman" w:hAnsi="Times New Roman"/>
          <w:bCs/>
          <w:kern w:val="2"/>
          <w:sz w:val="21"/>
          <w:szCs w:val="21"/>
        </w:rPr>
        <w:t>工艺</w:t>
      </w:r>
      <w:r>
        <w:rPr>
          <w:rFonts w:ascii="Times New Roman" w:hAnsi="Times New Roman"/>
          <w:bCs/>
          <w:kern w:val="2"/>
          <w:sz w:val="21"/>
          <w:szCs w:val="21"/>
        </w:rPr>
        <w:t>，是将活性污泥法与生物膜法有机结合的一种污水生物处理综合技术。在生物接触氧化池中，填料淹没在污水中，填料上长满生物膜，空气通过设在池底的布气装置进入水流，随气泡上升为微生物提供营养，污水与生物膜接触过程中，水中的有机物被微生物吸附、氧化分解和转化为新的生物膜。</w:t>
      </w:r>
    </w:p>
    <w:p/>
    <w:p>
      <w:pPr>
        <w:widowControl/>
        <w:spacing w:line="400" w:lineRule="exact"/>
        <w:jc w:val="left"/>
        <w:rPr>
          <w:rFonts w:hAnsi="宋体" w:eastAsia="黑体" w:cs="宋体"/>
          <w:color w:val="FF0000"/>
          <w:kern w:val="0"/>
          <w:sz w:val="24"/>
        </w:rPr>
      </w:pPr>
      <w:r>
        <w:rPr>
          <w:rFonts w:hint="eastAsia" w:hAnsi="宋体" w:eastAsia="黑体" w:cs="宋体"/>
          <w:color w:val="FF0000"/>
          <w:kern w:val="0"/>
          <w:sz w:val="24"/>
        </w:rPr>
        <w:t>二</w:t>
      </w:r>
      <w:r>
        <w:rPr>
          <w:rFonts w:hAnsi="宋体" w:eastAsia="黑体" w:cs="宋体"/>
          <w:color w:val="FF0000"/>
          <w:kern w:val="0"/>
          <w:sz w:val="24"/>
        </w:rPr>
        <w:t>、问答题</w:t>
      </w:r>
    </w:p>
    <w:p>
      <w:pPr>
        <w:pStyle w:val="4"/>
        <w:spacing w:before="0" w:beforeAutospacing="0" w:after="0" w:afterAutospacing="0" w:line="400" w:lineRule="exact"/>
        <w:rPr>
          <w:rFonts w:ascii="Times New Roman" w:hAnsi="Times New Roman"/>
          <w:b/>
          <w:color w:val="0000FF"/>
          <w:sz w:val="21"/>
          <w:szCs w:val="21"/>
        </w:rPr>
      </w:pPr>
      <w:r>
        <w:rPr>
          <w:rFonts w:ascii="Times New Roman" w:hAnsi="Times New Roman"/>
          <w:b/>
          <w:bCs/>
          <w:color w:val="0000FF"/>
          <w:sz w:val="21"/>
          <w:szCs w:val="21"/>
        </w:rPr>
        <w:t>1.</w:t>
      </w:r>
      <w:r>
        <w:rPr>
          <w:rFonts w:ascii="Times New Roman" w:hAnsi="Times New Roman"/>
          <w:b/>
          <w:color w:val="0000FF"/>
          <w:sz w:val="21"/>
          <w:szCs w:val="21"/>
        </w:rPr>
        <w:t xml:space="preserve"> 简述水体</w:t>
      </w:r>
      <w:r>
        <w:rPr>
          <w:rFonts w:hint="eastAsia" w:ascii="Times New Roman" w:hAnsi="Times New Roman"/>
          <w:b/>
          <w:color w:val="0000FF"/>
          <w:sz w:val="21"/>
          <w:szCs w:val="21"/>
        </w:rPr>
        <w:t>对污染物的净化作用</w:t>
      </w:r>
      <w:r>
        <w:rPr>
          <w:rFonts w:ascii="Times New Roman" w:hAnsi="Times New Roman"/>
          <w:b/>
          <w:color w:val="0000FF"/>
          <w:sz w:val="21"/>
          <w:szCs w:val="21"/>
        </w:rPr>
        <w:t>。</w:t>
      </w:r>
    </w:p>
    <w:p>
      <w:pPr>
        <w:spacing w:line="400" w:lineRule="exact"/>
        <w:ind w:firstLine="420" w:firstLineChars="200"/>
        <w:rPr>
          <w:szCs w:val="21"/>
        </w:rPr>
      </w:pPr>
      <w:r>
        <w:rPr>
          <w:rFonts w:hint="eastAsia"/>
          <w:szCs w:val="21"/>
        </w:rPr>
        <w:t>答题要点：</w:t>
      </w:r>
      <w:r>
        <w:rPr>
          <w:szCs w:val="21"/>
        </w:rPr>
        <w:t>水体自净的机制主要包括以下三个方面：</w:t>
      </w:r>
    </w:p>
    <w:p>
      <w:pPr>
        <w:spacing w:line="400" w:lineRule="exact"/>
        <w:rPr>
          <w:szCs w:val="21"/>
        </w:rPr>
      </w:pPr>
      <w:r>
        <w:rPr>
          <w:szCs w:val="21"/>
        </w:rPr>
        <w:t>(1)物理净化  是指污染物质由于稀释、扩散、沉淀等作用而使河水污染物</w:t>
      </w:r>
    </w:p>
    <w:p>
      <w:pPr>
        <w:spacing w:line="400" w:lineRule="exact"/>
        <w:rPr>
          <w:szCs w:val="21"/>
        </w:rPr>
      </w:pPr>
      <w:r>
        <w:rPr>
          <w:szCs w:val="21"/>
        </w:rPr>
        <w:t>质浓度降低的过程。其中稀释作用是一项重要的物理净化过程。</w:t>
      </w:r>
    </w:p>
    <w:p>
      <w:pPr>
        <w:spacing w:line="400" w:lineRule="exact"/>
        <w:rPr>
          <w:szCs w:val="21"/>
        </w:rPr>
      </w:pPr>
      <w:r>
        <w:rPr>
          <w:szCs w:val="21"/>
        </w:rPr>
        <w:t>(2)化学净化  是指污染物质由于氧化、还原、分解等作用而使河水污染物</w:t>
      </w:r>
    </w:p>
    <w:p>
      <w:pPr>
        <w:spacing w:line="400" w:lineRule="exact"/>
        <w:rPr>
          <w:szCs w:val="21"/>
        </w:rPr>
      </w:pPr>
      <w:r>
        <w:rPr>
          <w:szCs w:val="21"/>
        </w:rPr>
        <w:t>质浓度降低的过程。</w:t>
      </w:r>
    </w:p>
    <w:p>
      <w:pPr>
        <w:spacing w:line="400" w:lineRule="exact"/>
        <w:rPr>
          <w:szCs w:val="21"/>
        </w:rPr>
      </w:pPr>
      <w:r>
        <w:rPr>
          <w:szCs w:val="21"/>
        </w:rPr>
        <w:t>(3)生物净化  由于水中生物活动，尤其是水中微生物对有机物的氧化分解</w:t>
      </w:r>
    </w:p>
    <w:p>
      <w:pPr>
        <w:spacing w:line="400" w:lineRule="exact"/>
        <w:rPr>
          <w:szCs w:val="21"/>
        </w:rPr>
      </w:pPr>
      <w:r>
        <w:rPr>
          <w:szCs w:val="21"/>
        </w:rPr>
        <w:t>作用而引起的污染物质浓度降低的过程。</w:t>
      </w:r>
    </w:p>
    <w:p>
      <w:pPr>
        <w:spacing w:line="400" w:lineRule="exact"/>
        <w:rPr>
          <w:b/>
          <w:bCs/>
          <w:szCs w:val="21"/>
        </w:rPr>
      </w:pPr>
    </w:p>
    <w:p>
      <w:pPr>
        <w:spacing w:line="400" w:lineRule="exact"/>
        <w:rPr>
          <w:b/>
          <w:color w:val="0000FF"/>
          <w:szCs w:val="21"/>
        </w:rPr>
      </w:pPr>
      <w:r>
        <w:rPr>
          <w:rFonts w:hint="eastAsia"/>
          <w:b/>
          <w:bCs/>
          <w:color w:val="0000FF"/>
          <w:szCs w:val="21"/>
        </w:rPr>
        <w:t>2</w:t>
      </w:r>
      <w:r>
        <w:rPr>
          <w:b/>
          <w:bCs/>
          <w:color w:val="0000FF"/>
          <w:szCs w:val="21"/>
        </w:rPr>
        <w:t>.</w:t>
      </w:r>
      <w:r>
        <w:rPr>
          <w:b/>
          <w:color w:val="0000FF"/>
          <w:szCs w:val="21"/>
        </w:rPr>
        <w:t xml:space="preserve"> </w:t>
      </w:r>
      <w:r>
        <w:rPr>
          <w:rFonts w:hint="eastAsia"/>
          <w:b/>
          <w:color w:val="0000FF"/>
          <w:szCs w:val="21"/>
        </w:rPr>
        <w:t>分析</w:t>
      </w:r>
      <w:r>
        <w:rPr>
          <w:b/>
          <w:color w:val="0000FF"/>
          <w:szCs w:val="21"/>
        </w:rPr>
        <w:t>沉</w:t>
      </w:r>
      <w:r>
        <w:rPr>
          <w:rFonts w:hint="eastAsia"/>
          <w:b/>
          <w:color w:val="0000FF"/>
          <w:szCs w:val="21"/>
        </w:rPr>
        <w:t>淀</w:t>
      </w:r>
      <w:r>
        <w:rPr>
          <w:b/>
          <w:color w:val="0000FF"/>
          <w:szCs w:val="21"/>
        </w:rPr>
        <w:t>池中</w:t>
      </w:r>
      <w:r>
        <w:rPr>
          <w:rFonts w:hint="eastAsia"/>
          <w:b/>
          <w:color w:val="0000FF"/>
          <w:szCs w:val="21"/>
        </w:rPr>
        <w:t>可能发生的</w:t>
      </w:r>
      <w:r>
        <w:rPr>
          <w:b/>
          <w:color w:val="0000FF"/>
          <w:szCs w:val="21"/>
        </w:rPr>
        <w:t>沉淀</w:t>
      </w:r>
      <w:r>
        <w:rPr>
          <w:rFonts w:hint="eastAsia"/>
          <w:b/>
          <w:color w:val="0000FF"/>
          <w:szCs w:val="21"/>
        </w:rPr>
        <w:t>形式，这些不同</w:t>
      </w:r>
      <w:r>
        <w:rPr>
          <w:b/>
          <w:color w:val="0000FF"/>
          <w:szCs w:val="21"/>
        </w:rPr>
        <w:t>沉淀</w:t>
      </w:r>
      <w:r>
        <w:rPr>
          <w:rFonts w:hint="eastAsia"/>
          <w:b/>
          <w:color w:val="0000FF"/>
          <w:szCs w:val="21"/>
        </w:rPr>
        <w:t>形式的特点是什么</w:t>
      </w:r>
      <w:r>
        <w:rPr>
          <w:b/>
          <w:color w:val="0000FF"/>
          <w:szCs w:val="21"/>
        </w:rPr>
        <w:t xml:space="preserve">？ </w:t>
      </w:r>
    </w:p>
    <w:p>
      <w:pPr>
        <w:spacing w:line="400" w:lineRule="exact"/>
        <w:ind w:firstLine="210" w:firstLineChars="100"/>
        <w:rPr>
          <w:b/>
          <w:szCs w:val="21"/>
        </w:rPr>
      </w:pPr>
      <w:r>
        <w:rPr>
          <w:rFonts w:hint="eastAsia"/>
          <w:szCs w:val="21"/>
        </w:rPr>
        <w:t>答案要点：</w:t>
      </w:r>
    </w:p>
    <w:p>
      <w:pPr>
        <w:spacing w:line="400" w:lineRule="exact"/>
        <w:ind w:firstLine="420" w:firstLineChars="200"/>
        <w:rPr>
          <w:szCs w:val="21"/>
        </w:rPr>
      </w:pPr>
      <w:r>
        <w:rPr>
          <w:rFonts w:hint="eastAsia"/>
          <w:szCs w:val="21"/>
        </w:rPr>
        <w:t>一般在初沉池中，会发生自由沉</w:t>
      </w:r>
      <w:r>
        <w:rPr>
          <w:szCs w:val="21"/>
        </w:rPr>
        <w:t>淀</w:t>
      </w:r>
      <w:r>
        <w:rPr>
          <w:rFonts w:hint="eastAsia"/>
          <w:szCs w:val="21"/>
        </w:rPr>
        <w:t>、</w:t>
      </w:r>
      <w:r>
        <w:rPr>
          <w:szCs w:val="21"/>
        </w:rPr>
        <w:t>絮凝沉淀</w:t>
      </w:r>
      <w:r>
        <w:rPr>
          <w:rFonts w:hint="eastAsia"/>
          <w:szCs w:val="21"/>
        </w:rPr>
        <w:t>、</w:t>
      </w:r>
      <w:r>
        <w:rPr>
          <w:szCs w:val="21"/>
        </w:rPr>
        <w:t>成层沉淀</w:t>
      </w:r>
      <w:r>
        <w:rPr>
          <w:rFonts w:hint="eastAsia"/>
          <w:szCs w:val="21"/>
        </w:rPr>
        <w:t>和</w:t>
      </w:r>
      <w:r>
        <w:rPr>
          <w:szCs w:val="21"/>
        </w:rPr>
        <w:t>压缩沉</w:t>
      </w:r>
      <w:r>
        <w:rPr>
          <w:rFonts w:hint="eastAsia"/>
          <w:szCs w:val="21"/>
        </w:rPr>
        <w:t>淀，四种形式都有可能存在；</w:t>
      </w:r>
      <w:r>
        <w:rPr>
          <w:szCs w:val="21"/>
        </w:rPr>
        <w:t>二沉池中主要发生的是絮凝沉淀和成层沉淀，存在成层沉淀区，池底存在压缩沉淀</w:t>
      </w:r>
    </w:p>
    <w:p>
      <w:pPr>
        <w:spacing w:line="400" w:lineRule="exact"/>
        <w:ind w:left="630" w:hanging="630" w:hangingChars="300"/>
        <w:rPr>
          <w:szCs w:val="21"/>
        </w:rPr>
      </w:pPr>
      <w:r>
        <w:rPr>
          <w:szCs w:val="21"/>
        </w:rPr>
        <w:t>现象。</w:t>
      </w:r>
    </w:p>
    <w:p>
      <w:pPr>
        <w:spacing w:line="400" w:lineRule="exact"/>
        <w:ind w:firstLine="211" w:firstLineChars="100"/>
        <w:rPr>
          <w:szCs w:val="21"/>
        </w:rPr>
      </w:pPr>
      <w:r>
        <w:rPr>
          <w:b/>
          <w:szCs w:val="21"/>
        </w:rPr>
        <w:t>自由沉淀:</w:t>
      </w:r>
      <w:r>
        <w:rPr>
          <w:szCs w:val="21"/>
        </w:rPr>
        <w:t>固体浓度不高时（一般小于1000mg/L），沉淀过程悬浮固体之间互不干扰，颗粒发生等速下沉，沉淀轨迹呈直线，整个沉淀过程中，颗粒的物理性质、如形状，大小及比重等不发生变化。</w:t>
      </w:r>
    </w:p>
    <w:p>
      <w:pPr>
        <w:spacing w:line="400" w:lineRule="exact"/>
        <w:ind w:firstLine="211" w:firstLineChars="100"/>
        <w:rPr>
          <w:b/>
          <w:szCs w:val="21"/>
        </w:rPr>
      </w:pPr>
      <w:r>
        <w:rPr>
          <w:b/>
          <w:szCs w:val="21"/>
        </w:rPr>
        <w:t>絮凝沉淀:</w:t>
      </w:r>
      <w:r>
        <w:rPr>
          <w:szCs w:val="21"/>
        </w:rPr>
        <w:t>当固体浓度较高（一般1000-5000mg/L）时，颗粒在沉降过程中发生相互粘附，使颗粒直径增大而加速沉降的过程。</w:t>
      </w:r>
    </w:p>
    <w:p>
      <w:pPr>
        <w:spacing w:line="400" w:lineRule="exact"/>
        <w:ind w:firstLine="211" w:firstLineChars="100"/>
        <w:rPr>
          <w:szCs w:val="21"/>
        </w:rPr>
      </w:pPr>
      <w:r>
        <w:rPr>
          <w:b/>
          <w:szCs w:val="21"/>
        </w:rPr>
        <w:t>区域沉淀(或成层沉淀):</w:t>
      </w:r>
      <w:r>
        <w:rPr>
          <w:szCs w:val="21"/>
        </w:rPr>
        <w:t>区域沉淀的悬浮颗粒浓度较高(5000 mg/L以上)，颗粒</w:t>
      </w:r>
    </w:p>
    <w:p>
      <w:pPr>
        <w:spacing w:line="400" w:lineRule="exact"/>
        <w:ind w:left="630" w:hanging="630" w:hangingChars="300"/>
        <w:rPr>
          <w:szCs w:val="21"/>
        </w:rPr>
      </w:pPr>
      <w:r>
        <w:rPr>
          <w:szCs w:val="21"/>
        </w:rPr>
        <w:t>的沉降受到周围其它颗粒影响，颗粒问相对位置保持不变，形成一个整体共同下</w:t>
      </w:r>
    </w:p>
    <w:p>
      <w:pPr>
        <w:spacing w:line="400" w:lineRule="exact"/>
        <w:ind w:left="630" w:hanging="630" w:hangingChars="300"/>
        <w:rPr>
          <w:szCs w:val="21"/>
        </w:rPr>
      </w:pPr>
      <w:r>
        <w:rPr>
          <w:szCs w:val="21"/>
        </w:rPr>
        <w:t>沉，与澄清水之间有清晰的泥水界面。二次沉淀池与污泥浓缩池中均有区域沉淀</w:t>
      </w:r>
    </w:p>
    <w:p>
      <w:pPr>
        <w:spacing w:line="400" w:lineRule="exact"/>
        <w:ind w:left="630" w:hanging="630" w:hangingChars="300"/>
        <w:rPr>
          <w:szCs w:val="21"/>
        </w:rPr>
      </w:pPr>
      <w:r>
        <w:rPr>
          <w:szCs w:val="21"/>
        </w:rPr>
        <w:t>发生。</w:t>
      </w:r>
    </w:p>
    <w:p/>
    <w:p>
      <w:pPr>
        <w:pStyle w:val="4"/>
        <w:spacing w:before="0" w:beforeAutospacing="0" w:after="0" w:afterAutospacing="0" w:line="400" w:lineRule="exact"/>
        <w:rPr>
          <w:rFonts w:ascii="Times New Roman" w:hAnsi="Times New Roman"/>
          <w:b/>
          <w:color w:val="0000FF"/>
          <w:sz w:val="21"/>
          <w:szCs w:val="21"/>
        </w:rPr>
      </w:pPr>
      <w:r>
        <w:rPr>
          <w:rFonts w:hint="eastAsia" w:ascii="Times New Roman" w:hAnsi="Times New Roman"/>
          <w:b/>
          <w:bCs/>
          <w:color w:val="0000FF"/>
          <w:sz w:val="21"/>
          <w:szCs w:val="21"/>
        </w:rPr>
        <w:t>3</w:t>
      </w:r>
      <w:r>
        <w:rPr>
          <w:rFonts w:ascii="Times New Roman" w:hAnsi="Times New Roman"/>
          <w:b/>
          <w:bCs/>
          <w:color w:val="0000FF"/>
          <w:sz w:val="21"/>
          <w:szCs w:val="21"/>
        </w:rPr>
        <w:t>.</w:t>
      </w:r>
      <w:r>
        <w:rPr>
          <w:rFonts w:ascii="Times New Roman" w:hAnsi="Times New Roman"/>
          <w:b/>
          <w:color w:val="0000FF"/>
          <w:sz w:val="21"/>
          <w:szCs w:val="21"/>
        </w:rPr>
        <w:t xml:space="preserve"> 在</w:t>
      </w:r>
      <w:r>
        <w:rPr>
          <w:rFonts w:hint="eastAsia" w:ascii="Times New Roman" w:hAnsi="Times New Roman"/>
          <w:b/>
          <w:color w:val="0000FF"/>
          <w:sz w:val="21"/>
          <w:szCs w:val="21"/>
        </w:rPr>
        <w:t>废水混</w:t>
      </w:r>
      <w:r>
        <w:rPr>
          <w:rFonts w:ascii="Times New Roman" w:hAnsi="Times New Roman"/>
          <w:b/>
          <w:color w:val="0000FF"/>
          <w:sz w:val="21"/>
          <w:szCs w:val="21"/>
        </w:rPr>
        <w:t>凝沉淀中，絮凝剂的作用</w:t>
      </w:r>
      <w:r>
        <w:rPr>
          <w:rFonts w:hint="eastAsia" w:ascii="Times New Roman" w:hAnsi="Times New Roman"/>
          <w:b/>
          <w:color w:val="0000FF"/>
          <w:sz w:val="21"/>
          <w:szCs w:val="21"/>
        </w:rPr>
        <w:t>和原理</w:t>
      </w:r>
      <w:r>
        <w:rPr>
          <w:rFonts w:ascii="Times New Roman" w:hAnsi="Times New Roman"/>
          <w:b/>
          <w:color w:val="0000FF"/>
          <w:sz w:val="21"/>
          <w:szCs w:val="21"/>
        </w:rPr>
        <w:t>是什么？</w:t>
      </w:r>
    </w:p>
    <w:p>
      <w:pPr>
        <w:pStyle w:val="4"/>
        <w:spacing w:before="0" w:beforeAutospacing="0" w:after="0" w:afterAutospacing="0" w:line="400" w:lineRule="exact"/>
        <w:ind w:firstLine="420" w:firstLineChars="200"/>
        <w:rPr>
          <w:rFonts w:ascii="Times New Roman" w:hAnsi="Times New Roman"/>
          <w:sz w:val="21"/>
          <w:szCs w:val="21"/>
        </w:rPr>
      </w:pPr>
      <w:r>
        <w:rPr>
          <w:rFonts w:hint="eastAsia" w:ascii="Times New Roman" w:hAnsi="Times New Roman"/>
          <w:sz w:val="21"/>
          <w:szCs w:val="21"/>
        </w:rPr>
        <w:t>答题要点：</w:t>
      </w:r>
      <w:r>
        <w:rPr>
          <w:rFonts w:ascii="Times New Roman" w:hAnsi="Times New Roman"/>
          <w:sz w:val="21"/>
          <w:szCs w:val="21"/>
        </w:rPr>
        <w:t>本题检验学生对絮凝剂作用的认识和对絮凝沉淀的机理的理解。常用的无机絮凝剂可以是硫酸铝、三氯化铝、硫酸亚铁、聚铝或聚铁等，有机高分子絮凝剂有聚丙烯酰胺等。要指出絮凝剂的加入对改善废水中胶体物质的电性状况（即通过絮凝剂中的反离子电荷的迅速分散，起到压缩双电层、电性中</w:t>
      </w:r>
      <w:r>
        <w:rPr>
          <w:rFonts w:hint="eastAsia" w:ascii="Times New Roman" w:hAnsi="Times New Roman"/>
          <w:sz w:val="21"/>
          <w:szCs w:val="21"/>
        </w:rPr>
        <w:t>和</w:t>
      </w:r>
      <w:r>
        <w:rPr>
          <w:rFonts w:ascii="Times New Roman" w:hAnsi="Times New Roman"/>
          <w:sz w:val="21"/>
          <w:szCs w:val="21"/>
        </w:rPr>
        <w:t>、及生成的大分子絮状体有吸附卷带作用等）、使水中胶粒脱稳从而使其易于凝聚。</w:t>
      </w:r>
    </w:p>
    <w:p/>
    <w:p>
      <w:pPr>
        <w:pStyle w:val="4"/>
        <w:spacing w:before="0" w:beforeAutospacing="0" w:after="0" w:afterAutospacing="0" w:line="400" w:lineRule="exact"/>
        <w:rPr>
          <w:rFonts w:ascii="Times New Roman" w:hAnsi="Times New Roman"/>
          <w:color w:val="0000FF"/>
          <w:sz w:val="21"/>
          <w:szCs w:val="21"/>
        </w:rPr>
      </w:pPr>
      <w:r>
        <w:rPr>
          <w:rFonts w:hint="eastAsia" w:ascii="Times New Roman" w:hAnsi="Times New Roman"/>
          <w:bCs/>
          <w:color w:val="0000FF"/>
          <w:sz w:val="21"/>
          <w:szCs w:val="21"/>
        </w:rPr>
        <w:t>4</w:t>
      </w:r>
      <w:r>
        <w:rPr>
          <w:rFonts w:ascii="Times New Roman" w:hAnsi="Times New Roman"/>
          <w:bCs/>
          <w:color w:val="0000FF"/>
          <w:sz w:val="21"/>
          <w:szCs w:val="21"/>
        </w:rPr>
        <w:t>.</w:t>
      </w:r>
      <w:r>
        <w:rPr>
          <w:rFonts w:ascii="Times New Roman" w:hAnsi="Times New Roman"/>
          <w:color w:val="0000FF"/>
          <w:sz w:val="21"/>
          <w:szCs w:val="21"/>
        </w:rPr>
        <w:t xml:space="preserve"> 比较污水好氧和厌氧生物处理</w:t>
      </w:r>
      <w:r>
        <w:rPr>
          <w:rFonts w:hint="eastAsia" w:ascii="Times New Roman" w:hAnsi="Times New Roman"/>
          <w:color w:val="0000FF"/>
          <w:sz w:val="21"/>
          <w:szCs w:val="21"/>
        </w:rPr>
        <w:t>工艺</w:t>
      </w:r>
      <w:r>
        <w:rPr>
          <w:rFonts w:ascii="Times New Roman" w:hAnsi="Times New Roman"/>
          <w:color w:val="0000FF"/>
          <w:sz w:val="21"/>
          <w:szCs w:val="21"/>
        </w:rPr>
        <w:t>的特点，常见的好氧生物处理工艺</w:t>
      </w:r>
      <w:r>
        <w:rPr>
          <w:rFonts w:hint="eastAsia" w:ascii="Times New Roman" w:hAnsi="Times New Roman"/>
          <w:color w:val="0000FF"/>
          <w:sz w:val="21"/>
          <w:szCs w:val="21"/>
        </w:rPr>
        <w:t>有哪些？</w:t>
      </w:r>
    </w:p>
    <w:p>
      <w:pPr>
        <w:spacing w:line="400" w:lineRule="exact"/>
        <w:ind w:firstLine="420" w:firstLineChars="200"/>
        <w:rPr>
          <w:szCs w:val="21"/>
        </w:rPr>
      </w:pPr>
      <w:r>
        <w:rPr>
          <w:rFonts w:hint="eastAsia"/>
          <w:szCs w:val="21"/>
        </w:rPr>
        <w:t>答案要点：</w:t>
      </w:r>
    </w:p>
    <w:p>
      <w:pPr>
        <w:spacing w:line="400" w:lineRule="exact"/>
        <w:ind w:firstLine="420" w:firstLineChars="200"/>
        <w:rPr>
          <w:szCs w:val="21"/>
        </w:rPr>
      </w:pPr>
      <w:r>
        <w:rPr>
          <w:szCs w:val="21"/>
        </w:rPr>
        <w:t>好氧生物处理的特点：速度较快，反应时间较短，构筑物容积较小。臭气散发较少。适合于处理中、低浓度的有机废水（BOD＜500 mg/L）。废水在好氧生物处理过程中，复杂的有机化合物被降解，大部分用于合成新的原生质，小部分矿化为简单的CO</w:t>
      </w:r>
      <w:r>
        <w:rPr>
          <w:szCs w:val="21"/>
          <w:vertAlign w:val="subscript"/>
        </w:rPr>
        <w:t>2</w:t>
      </w:r>
      <w:r>
        <w:rPr>
          <w:szCs w:val="21"/>
        </w:rPr>
        <w:t>、H</w:t>
      </w:r>
      <w:r>
        <w:rPr>
          <w:szCs w:val="21"/>
          <w:vertAlign w:val="subscript"/>
        </w:rPr>
        <w:t>2</w:t>
      </w:r>
      <w:r>
        <w:rPr>
          <w:szCs w:val="21"/>
        </w:rPr>
        <w:t>O、NH</w:t>
      </w:r>
      <w:r>
        <w:rPr>
          <w:szCs w:val="21"/>
          <w:vertAlign w:val="subscript"/>
        </w:rPr>
        <w:t>3</w:t>
      </w:r>
      <w:r>
        <w:rPr>
          <w:szCs w:val="21"/>
        </w:rPr>
        <w:t>等无机化合物，同时释放较多的能量。因而，产生的污泥量较多。</w:t>
      </w:r>
    </w:p>
    <w:p>
      <w:pPr>
        <w:spacing w:line="400" w:lineRule="exact"/>
        <w:ind w:firstLine="420" w:firstLineChars="200"/>
        <w:rPr>
          <w:szCs w:val="21"/>
        </w:rPr>
      </w:pPr>
      <w:r>
        <w:rPr>
          <w:szCs w:val="21"/>
        </w:rPr>
        <w:t>厌氧生物处理的特点：不需另加氧源，运行费用低；可回收甲烷；污泥量少；</w:t>
      </w:r>
    </w:p>
    <w:p>
      <w:pPr>
        <w:spacing w:line="400" w:lineRule="exact"/>
        <w:rPr>
          <w:szCs w:val="21"/>
        </w:rPr>
      </w:pPr>
      <w:r>
        <w:rPr>
          <w:szCs w:val="21"/>
        </w:rPr>
        <w:t>但反应速度慢、时间长；适合于处理高浓度有机废水和有机污泥（BOD＞2000 mg/L）。废水在厌氧生物处理过程中，复杂的有机化合物大部分被降解、转化为简单的化合物，一部分转化为CH</w:t>
      </w:r>
      <w:r>
        <w:rPr>
          <w:szCs w:val="21"/>
          <w:vertAlign w:val="subscript"/>
        </w:rPr>
        <w:t>4</w:t>
      </w:r>
      <w:r>
        <w:rPr>
          <w:szCs w:val="21"/>
        </w:rPr>
        <w:t>；一部分被分解为CO</w:t>
      </w:r>
      <w:r>
        <w:rPr>
          <w:szCs w:val="21"/>
          <w:vertAlign w:val="subscript"/>
        </w:rPr>
        <w:t>2</w:t>
      </w:r>
      <w:r>
        <w:rPr>
          <w:szCs w:val="21"/>
        </w:rPr>
        <w:t>、H</w:t>
      </w:r>
      <w:r>
        <w:rPr>
          <w:szCs w:val="21"/>
          <w:vertAlign w:val="subscript"/>
        </w:rPr>
        <w:t>2</w:t>
      </w:r>
      <w:r>
        <w:rPr>
          <w:szCs w:val="21"/>
        </w:rPr>
        <w:t>O、NH</w:t>
      </w:r>
      <w:r>
        <w:rPr>
          <w:szCs w:val="21"/>
          <w:vertAlign w:val="subscript"/>
        </w:rPr>
        <w:t>3</w:t>
      </w:r>
      <w:r>
        <w:rPr>
          <w:szCs w:val="21"/>
        </w:rPr>
        <w:t>、H</w:t>
      </w:r>
      <w:r>
        <w:rPr>
          <w:szCs w:val="21"/>
          <w:vertAlign w:val="subscript"/>
        </w:rPr>
        <w:t>2</w:t>
      </w:r>
      <w:r>
        <w:rPr>
          <w:szCs w:val="21"/>
        </w:rPr>
        <w:t>S等无机物，并为细胞合成提供能量；另一部分少量有机物被转化、合成为新的原生质。释放能量较好氧过程少。产生的污泥量较少。</w:t>
      </w:r>
    </w:p>
    <w:p>
      <w:pPr>
        <w:spacing w:line="400" w:lineRule="exact"/>
        <w:ind w:firstLine="420" w:firstLineChars="200"/>
        <w:rPr>
          <w:szCs w:val="21"/>
        </w:rPr>
      </w:pPr>
      <w:r>
        <w:rPr>
          <w:szCs w:val="21"/>
        </w:rPr>
        <w:t>常用的好氧生化处理工艺有：好氧活性污泥工艺、生物膜法（包括：生物滤池、生物转盘、生物接触氧化法、生物流化床工艺等）。</w:t>
      </w:r>
    </w:p>
    <w:p/>
    <w:p>
      <w:pPr>
        <w:widowControl/>
        <w:spacing w:line="400" w:lineRule="atLeast"/>
        <w:jc w:val="left"/>
        <w:rPr>
          <w:rFonts w:hAnsi="宋体" w:eastAsia="黑体" w:cs="宋体"/>
          <w:color w:val="FF0000"/>
          <w:kern w:val="0"/>
          <w:sz w:val="24"/>
        </w:rPr>
      </w:pPr>
      <w:r>
        <w:rPr>
          <w:rFonts w:hint="eastAsia" w:hAnsi="宋体" w:eastAsia="黑体" w:cs="宋体"/>
          <w:color w:val="FF0000"/>
          <w:kern w:val="0"/>
          <w:sz w:val="24"/>
        </w:rPr>
        <w:t>三</w:t>
      </w:r>
      <w:r>
        <w:rPr>
          <w:rFonts w:hAnsi="宋体" w:eastAsia="黑体" w:cs="宋体"/>
          <w:color w:val="FF0000"/>
          <w:kern w:val="0"/>
          <w:sz w:val="24"/>
        </w:rPr>
        <w:t>、综合分析题</w:t>
      </w:r>
      <w:bookmarkStart w:id="0" w:name="_GoBack"/>
      <w:bookmarkEnd w:id="0"/>
    </w:p>
    <w:p>
      <w:pPr>
        <w:pStyle w:val="4"/>
        <w:spacing w:before="0" w:beforeAutospacing="0" w:after="0" w:afterAutospacing="0"/>
        <w:ind w:firstLine="480"/>
        <w:rPr>
          <w:rFonts w:ascii="Times New Roman" w:hAnsi="Times New Roman"/>
          <w:color w:val="0000FF"/>
          <w:sz w:val="21"/>
          <w:szCs w:val="21"/>
        </w:rPr>
      </w:pPr>
      <w:r>
        <w:rPr>
          <w:rFonts w:hint="eastAsia" w:ascii="Times New Roman" w:hAnsi="Times New Roman"/>
          <w:color w:val="0000FF"/>
          <w:sz w:val="21"/>
          <w:szCs w:val="21"/>
        </w:rPr>
        <w:t>某农村分散型生活小区居住人口5,000人，生活污水采取小区内管网收集、集中处理排放水体的方式。试</w:t>
      </w:r>
      <w:r>
        <w:rPr>
          <w:rFonts w:ascii="Times New Roman" w:hAnsi="Times New Roman"/>
          <w:color w:val="0000FF"/>
          <w:sz w:val="21"/>
          <w:szCs w:val="21"/>
        </w:rPr>
        <w:t>提出处理该</w:t>
      </w:r>
      <w:r>
        <w:rPr>
          <w:rFonts w:hint="eastAsia" w:ascii="Times New Roman" w:hAnsi="Times New Roman"/>
          <w:color w:val="0000FF"/>
          <w:sz w:val="21"/>
          <w:szCs w:val="21"/>
        </w:rPr>
        <w:t>住宅小区</w:t>
      </w:r>
      <w:r>
        <w:rPr>
          <w:rFonts w:ascii="Times New Roman" w:hAnsi="Times New Roman"/>
          <w:color w:val="0000FF"/>
          <w:sz w:val="21"/>
          <w:szCs w:val="21"/>
        </w:rPr>
        <w:t>生活污水的工艺方案，画出相应的处理工艺流程简图，并说明工艺中各处理工段的目的和预期的目标。</w:t>
      </w:r>
    </w:p>
    <w:p>
      <w:pPr>
        <w:pStyle w:val="4"/>
        <w:spacing w:before="0" w:beforeAutospacing="0" w:after="0" w:afterAutospacing="0" w:line="400" w:lineRule="exact"/>
        <w:ind w:firstLine="422" w:firstLineChars="200"/>
        <w:rPr>
          <w:rFonts w:ascii="Times New Roman" w:hAnsi="Times New Roman"/>
          <w:sz w:val="21"/>
          <w:szCs w:val="21"/>
        </w:rPr>
      </w:pPr>
      <w:r>
        <w:rPr>
          <w:rFonts w:ascii="Times New Roman" w:hAnsi="Times New Roman"/>
          <w:b/>
          <w:sz w:val="21"/>
          <w:szCs w:val="21"/>
        </w:rPr>
        <w:t>解题要点：</w:t>
      </w:r>
      <w:r>
        <w:rPr>
          <w:rFonts w:hint="eastAsia" w:ascii="Times New Roman" w:hAnsi="Times New Roman"/>
          <w:sz w:val="21"/>
          <w:szCs w:val="21"/>
        </w:rPr>
        <w:t>对于此类分散式住宅小区的生活污水，一般的地区未纳入城市污水管网，需要独自建立污水处理设施。本题中，污水产生量可按100-150L/人</w:t>
      </w:r>
      <w:r>
        <w:rPr>
          <w:rFonts w:ascii="Times New Roman" w:hAnsi="Times New Roman"/>
          <w:sz w:val="21"/>
          <w:szCs w:val="21"/>
        </w:rPr>
        <w:t>·</w:t>
      </w:r>
      <w:r>
        <w:rPr>
          <w:rFonts w:hint="eastAsia" w:ascii="Times New Roman" w:hAnsi="Times New Roman"/>
          <w:sz w:val="21"/>
          <w:szCs w:val="21"/>
        </w:rPr>
        <w:t>天进行估算，处理工艺可以考虑简单的生活污水处理工艺，如活性污泥工艺或SBR工艺等。如果是采用活性污泥工艺，到少应考试设置初沉池和二沉池。</w:t>
      </w:r>
    </w:p>
    <w:p>
      <w:pPr>
        <w:pStyle w:val="4"/>
        <w:spacing w:before="0" w:beforeAutospacing="0" w:after="0" w:afterAutospacing="0" w:line="400" w:lineRule="exact"/>
        <w:ind w:firstLine="420" w:firstLineChars="200"/>
        <w:rPr>
          <w:rFonts w:ascii="Times New Roman" w:hAnsi="Times New Roman"/>
          <w:sz w:val="21"/>
          <w:szCs w:val="21"/>
        </w:rPr>
      </w:pPr>
      <w:r>
        <w:rPr>
          <w:rFonts w:hint="eastAsia" w:ascii="Times New Roman" w:hAnsi="Times New Roman"/>
          <w:sz w:val="21"/>
          <w:szCs w:val="21"/>
        </w:rPr>
        <w:t>污水水质可按一般生活污水中</w:t>
      </w:r>
      <w:r>
        <w:rPr>
          <w:rFonts w:ascii="Times New Roman" w:hAnsi="Times New Roman"/>
          <w:sz w:val="21"/>
          <w:szCs w:val="21"/>
        </w:rPr>
        <w:t>BOD</w:t>
      </w:r>
      <w:r>
        <w:rPr>
          <w:rFonts w:ascii="Times New Roman" w:hAnsi="Times New Roman"/>
          <w:sz w:val="21"/>
          <w:szCs w:val="21"/>
          <w:vertAlign w:val="subscript"/>
        </w:rPr>
        <w:t>5</w:t>
      </w:r>
      <w:r>
        <w:rPr>
          <w:rFonts w:ascii="Times New Roman" w:hAnsi="Times New Roman"/>
          <w:sz w:val="21"/>
          <w:szCs w:val="21"/>
        </w:rPr>
        <w:t xml:space="preserve"> </w:t>
      </w:r>
      <w:r>
        <w:rPr>
          <w:rFonts w:hint="eastAsia" w:ascii="Times New Roman" w:hAnsi="Times New Roman"/>
          <w:sz w:val="21"/>
          <w:szCs w:val="21"/>
        </w:rPr>
        <w:t>1</w:t>
      </w:r>
      <w:r>
        <w:rPr>
          <w:rFonts w:ascii="Times New Roman" w:hAnsi="Times New Roman"/>
          <w:sz w:val="21"/>
          <w:szCs w:val="21"/>
        </w:rPr>
        <w:t>00</w:t>
      </w:r>
      <w:r>
        <w:rPr>
          <w:rFonts w:hint="eastAsia" w:ascii="Times New Roman" w:hAnsi="Times New Roman"/>
          <w:sz w:val="21"/>
          <w:szCs w:val="21"/>
        </w:rPr>
        <w:t>-200</w:t>
      </w:r>
      <w:r>
        <w:rPr>
          <w:rFonts w:ascii="Times New Roman" w:hAnsi="Times New Roman"/>
          <w:sz w:val="21"/>
          <w:szCs w:val="21"/>
        </w:rPr>
        <w:t xml:space="preserve"> mg/L</w:t>
      </w:r>
      <w:r>
        <w:rPr>
          <w:rFonts w:hint="eastAsia" w:ascii="Times New Roman" w:hAnsi="Times New Roman"/>
          <w:sz w:val="21"/>
          <w:szCs w:val="21"/>
        </w:rPr>
        <w:t>、</w:t>
      </w:r>
      <w:r>
        <w:rPr>
          <w:rFonts w:ascii="Times New Roman" w:hAnsi="Times New Roman"/>
          <w:sz w:val="21"/>
          <w:szCs w:val="21"/>
        </w:rPr>
        <w:t>COD</w:t>
      </w:r>
      <w:r>
        <w:rPr>
          <w:rFonts w:ascii="Times New Roman" w:hAnsi="Times New Roman"/>
          <w:sz w:val="21"/>
          <w:szCs w:val="21"/>
          <w:vertAlign w:val="subscript"/>
        </w:rPr>
        <w:t>Cr</w:t>
      </w:r>
      <w:r>
        <w:rPr>
          <w:rFonts w:ascii="Times New Roman" w:hAnsi="Times New Roman"/>
          <w:sz w:val="21"/>
          <w:szCs w:val="21"/>
        </w:rPr>
        <w:t xml:space="preserve"> </w:t>
      </w:r>
      <w:r>
        <w:rPr>
          <w:rFonts w:hint="eastAsia" w:ascii="Times New Roman" w:hAnsi="Times New Roman"/>
          <w:sz w:val="21"/>
          <w:szCs w:val="21"/>
        </w:rPr>
        <w:t>3</w:t>
      </w:r>
      <w:r>
        <w:rPr>
          <w:rFonts w:ascii="Times New Roman" w:hAnsi="Times New Roman"/>
          <w:sz w:val="21"/>
          <w:szCs w:val="21"/>
        </w:rPr>
        <w:t>00</w:t>
      </w:r>
      <w:r>
        <w:rPr>
          <w:rFonts w:hint="eastAsia" w:ascii="Times New Roman" w:hAnsi="Times New Roman"/>
          <w:sz w:val="21"/>
          <w:szCs w:val="21"/>
        </w:rPr>
        <w:t>-400</w:t>
      </w:r>
      <w:r>
        <w:rPr>
          <w:rFonts w:ascii="Times New Roman" w:hAnsi="Times New Roman"/>
          <w:sz w:val="21"/>
          <w:szCs w:val="21"/>
        </w:rPr>
        <w:t xml:space="preserve"> mg/L</w:t>
      </w:r>
      <w:r>
        <w:rPr>
          <w:rFonts w:hint="eastAsia" w:ascii="Times New Roman" w:hAnsi="Times New Roman"/>
          <w:sz w:val="21"/>
          <w:szCs w:val="21"/>
        </w:rPr>
        <w:t>确定。生活污水的处理排放，应考虑执行《城镇污水处理厂污染物排放标准》（GB18918-2002）中的一级A类标准，即COD小于50</w:t>
      </w:r>
      <w:r>
        <w:rPr>
          <w:rFonts w:ascii="Times New Roman" w:hAnsi="Times New Roman"/>
          <w:sz w:val="21"/>
          <w:szCs w:val="21"/>
        </w:rPr>
        <w:t>mg/L</w:t>
      </w:r>
      <w:r>
        <w:rPr>
          <w:rFonts w:hint="eastAsia" w:ascii="Times New Roman" w:hAnsi="Times New Roman"/>
          <w:sz w:val="21"/>
          <w:szCs w:val="21"/>
        </w:rPr>
        <w:t>、BOD小于10</w:t>
      </w:r>
      <w:r>
        <w:rPr>
          <w:rFonts w:ascii="Times New Roman" w:hAnsi="Times New Roman"/>
          <w:sz w:val="21"/>
          <w:szCs w:val="21"/>
        </w:rPr>
        <w:t>mg/L</w:t>
      </w:r>
      <w:r>
        <w:rPr>
          <w:rFonts w:hint="eastAsia" w:ascii="Times New Roman" w:hAnsi="Times New Roman"/>
          <w:sz w:val="21"/>
          <w:szCs w:val="21"/>
        </w:rPr>
        <w:t>、氨氮小于5</w:t>
      </w:r>
      <w:r>
        <w:rPr>
          <w:rFonts w:ascii="Times New Roman" w:hAnsi="Times New Roman"/>
          <w:sz w:val="21"/>
          <w:szCs w:val="21"/>
        </w:rPr>
        <w:t>mg/L</w:t>
      </w:r>
      <w:r>
        <w:rPr>
          <w:rFonts w:hint="eastAsia" w:ascii="Times New Roman" w:hAnsi="Times New Roman"/>
          <w:sz w:val="21"/>
          <w:szCs w:val="21"/>
        </w:rPr>
        <w:t>、总磷小于0.5</w:t>
      </w:r>
      <w:r>
        <w:rPr>
          <w:rFonts w:ascii="Times New Roman" w:hAnsi="Times New Roman"/>
          <w:sz w:val="21"/>
          <w:szCs w:val="21"/>
        </w:rPr>
        <w:t>mg/L</w:t>
      </w:r>
      <w:r>
        <w:rPr>
          <w:rFonts w:hint="eastAsia" w:ascii="Times New Roman" w:hAnsi="Times New Roman"/>
          <w:sz w:val="21"/>
          <w:szCs w:val="21"/>
        </w:rPr>
        <w:t>。在此基础上，画出处理</w:t>
      </w:r>
      <w:r>
        <w:rPr>
          <w:rFonts w:ascii="Times New Roman" w:hAnsi="Times New Roman"/>
          <w:sz w:val="21"/>
          <w:szCs w:val="21"/>
        </w:rPr>
        <w:t>工艺流程简图</w:t>
      </w:r>
      <w:r>
        <w:rPr>
          <w:rFonts w:hint="eastAsia" w:ascii="Times New Roman" w:hAnsi="Times New Roman"/>
          <w:sz w:val="21"/>
          <w:szCs w:val="21"/>
        </w:rPr>
        <w:t>（框图），对其中每一步的功能和预期处理效果（COD去除率）做出说明。</w:t>
      </w:r>
    </w:p>
    <w:p/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080E0000" w:usb2="00000000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00007A87" w:usb1="80000000" w:usb2="00000008" w:usb3="00000000" w:csb0="400001FF" w:csb1="FFFF0000"/>
  </w:font>
  <w:font w:name="黑体">
    <w:panose1 w:val="02010600030101010101"/>
    <w:charset w:val="86"/>
    <w:family w:val="auto"/>
    <w:pitch w:val="default"/>
    <w:sig w:usb0="00000001" w:usb1="080E0000" w:usb2="00000000" w:usb3="00000000" w:csb0="00040000" w:csb1="00000000"/>
  </w:font>
  <w:font w:name="Courier New">
    <w:panose1 w:val="02070309020205020404"/>
    <w:charset w:val="01"/>
    <w:family w:val="modern"/>
    <w:pitch w:val="default"/>
    <w:sig w:usb0="00007A87" w:usb1="80000000" w:usb2="00000008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A00002EF" w:usb1="4000207B" w:usb2="00000000" w:usb3="00000000" w:csb0="2000009F" w:csb1="00000000"/>
  </w:font>
  <w:font w:name="Arial">
    <w:panose1 w:val="020B0604020202020204"/>
    <w:charset w:val="00"/>
    <w:family w:val="swiss"/>
    <w:pitch w:val="default"/>
    <w:sig w:usb0="00007A87" w:usb1="80000000" w:usb2="00000008" w:usb3="00000000" w:csb0="400001FF" w:csb1="FFFF0000"/>
  </w:font>
  <w:font w:name="Courier New">
    <w:panose1 w:val="02070309020205020404"/>
    <w:charset w:val="00"/>
    <w:family w:val="modern"/>
    <w:pitch w:val="default"/>
    <w:sig w:usb0="00007A87" w:usb1="80000000" w:usb2="00000008" w:usb3="00000000" w:csb0="4000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F4EA9"/>
    <w:rsid w:val="0001497C"/>
    <w:rsid w:val="00053AB1"/>
    <w:rsid w:val="000869A1"/>
    <w:rsid w:val="000B1C61"/>
    <w:rsid w:val="000F4F6F"/>
    <w:rsid w:val="000F6D72"/>
    <w:rsid w:val="00130D4D"/>
    <w:rsid w:val="00175063"/>
    <w:rsid w:val="001C3996"/>
    <w:rsid w:val="0022212E"/>
    <w:rsid w:val="00241284"/>
    <w:rsid w:val="002E66DA"/>
    <w:rsid w:val="002F1166"/>
    <w:rsid w:val="00353813"/>
    <w:rsid w:val="004F2554"/>
    <w:rsid w:val="0052073C"/>
    <w:rsid w:val="0052288B"/>
    <w:rsid w:val="00523B88"/>
    <w:rsid w:val="00554D0A"/>
    <w:rsid w:val="00560A78"/>
    <w:rsid w:val="00592755"/>
    <w:rsid w:val="00595A04"/>
    <w:rsid w:val="005B234A"/>
    <w:rsid w:val="005E1A8E"/>
    <w:rsid w:val="006F326B"/>
    <w:rsid w:val="007263CC"/>
    <w:rsid w:val="007E5FC3"/>
    <w:rsid w:val="007F4EA9"/>
    <w:rsid w:val="00841934"/>
    <w:rsid w:val="008968A3"/>
    <w:rsid w:val="0089784A"/>
    <w:rsid w:val="0090546D"/>
    <w:rsid w:val="009543C4"/>
    <w:rsid w:val="00967B2C"/>
    <w:rsid w:val="009952E8"/>
    <w:rsid w:val="00A27323"/>
    <w:rsid w:val="00A67C57"/>
    <w:rsid w:val="00AD2BE9"/>
    <w:rsid w:val="00B50A0D"/>
    <w:rsid w:val="00B53522"/>
    <w:rsid w:val="00B55218"/>
    <w:rsid w:val="00B834BD"/>
    <w:rsid w:val="00BB0053"/>
    <w:rsid w:val="00C01918"/>
    <w:rsid w:val="00C228EF"/>
    <w:rsid w:val="00C53128"/>
    <w:rsid w:val="00C72FFA"/>
    <w:rsid w:val="00C76C9D"/>
    <w:rsid w:val="00CF4D57"/>
    <w:rsid w:val="00D97F44"/>
    <w:rsid w:val="00DA33AA"/>
    <w:rsid w:val="00F23528"/>
    <w:rsid w:val="00F76064"/>
    <w:rsid w:val="2C7605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nhideWhenUsed="0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Times New Roman"/>
      <w:kern w:val="0"/>
      <w:sz w:val="24"/>
      <w:szCs w:val="24"/>
    </w:rPr>
  </w:style>
  <w:style w:type="character" w:customStyle="1" w:styleId="7">
    <w:name w:val="页眉 Char"/>
    <w:basedOn w:val="6"/>
    <w:link w:val="3"/>
    <w:qFormat/>
    <w:uiPriority w:val="99"/>
    <w:rPr>
      <w:sz w:val="18"/>
      <w:szCs w:val="18"/>
    </w:rPr>
  </w:style>
  <w:style w:type="character" w:customStyle="1" w:styleId="8">
    <w:name w:val="页脚 Char"/>
    <w:basedOn w:val="6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347</Words>
  <Characters>1982</Characters>
  <Lines>16</Lines>
  <Paragraphs>4</Paragraphs>
  <TotalTime>29</TotalTime>
  <ScaleCrop>false</ScaleCrop>
  <LinksUpToDate>false</LinksUpToDate>
  <CharactersWithSpaces>2325</CharactersWithSpaces>
  <Application>WPS Office_11.1.0.9208_F1E327BC-269C-435d-A152-05C5408002CA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2020-05-27T08:44:00Z</dcterms:created>
  <dc:creator>AutoBVT</dc:creator>
  <cp:lastModifiedBy>user</cp:lastModifiedBy>
  <dcterms:modified xsi:type="dcterms:W3CDTF">2022-07-02T07:14:24Z</dcterms:modified>
  <cp:revision>26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2052-11.1.0.9208</vt:lpwstr>
  </property>
</Properties>
</file>