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40" w:lineRule="auto"/>
        <w:ind w:left="-420" w:leftChars="-200" w:firstLine="369" w:firstLineChars="175"/>
        <w:jc w:val="center"/>
        <w:textAlignment w:val="auto"/>
        <w:rPr>
          <w:rFonts w:hint="eastAsia" w:ascii="宋体" w:hAnsi="宋体" w:eastAsia="宋体" w:cs="宋体"/>
          <w:color w:val="000000"/>
          <w:sz w:val="21"/>
          <w:szCs w:val="21"/>
          <w:u w:val="single"/>
          <w:lang w:val="en-US" w:eastAsia="zh-CN"/>
        </w:rPr>
      </w:pPr>
      <w:r>
        <w:rPr>
          <w:rFonts w:hint="eastAsia" w:ascii="宋体" w:hAnsi="宋体" w:eastAsia="宋体" w:cs="宋体"/>
          <w:b/>
          <w:bCs/>
          <w:color w:val="000000"/>
          <w:sz w:val="21"/>
          <w:szCs w:val="21"/>
          <w:u w:val="single"/>
          <w:lang w:val="en-US" w:eastAsia="zh-CN"/>
        </w:rPr>
        <w:t>电算化会计复习资料</w:t>
      </w:r>
    </w:p>
    <w:p>
      <w:pPr>
        <w:spacing w:line="240" w:lineRule="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rPr>
        <w:t>一、名词解释：</w:t>
      </w:r>
      <w:r>
        <w:rPr>
          <w:rFonts w:hint="eastAsia" w:ascii="宋体" w:hAnsi="宋体" w:eastAsia="宋体" w:cs="宋体"/>
          <w:b/>
          <w:bCs/>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1、信息</w:t>
      </w:r>
      <w:r>
        <w:rPr>
          <w:rFonts w:hint="eastAsia" w:ascii="宋体" w:hAnsi="宋体" w:eastAsia="宋体" w:cs="宋体"/>
          <w:sz w:val="21"/>
          <w:szCs w:val="21"/>
          <w:lang w:eastAsia="zh-CN"/>
        </w:rPr>
        <w:t>：</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rPr>
        <w:t>会计信息系统管理</w:t>
      </w:r>
      <w:r>
        <w:rPr>
          <w:rFonts w:hint="eastAsia" w:ascii="宋体" w:hAnsi="宋体" w:eastAsia="宋体" w:cs="宋体"/>
          <w:sz w:val="21"/>
          <w:szCs w:val="21"/>
          <w:lang w:eastAsia="zh-CN"/>
        </w:rPr>
        <w:t>：</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rPr>
        <w:t>数字签名</w:t>
      </w:r>
      <w:r>
        <w:rPr>
          <w:rFonts w:hint="eastAsia" w:ascii="宋体" w:hAnsi="宋体" w:eastAsia="宋体" w:cs="宋体"/>
          <w:sz w:val="21"/>
          <w:szCs w:val="21"/>
          <w:lang w:eastAsia="zh-CN"/>
        </w:rPr>
        <w:t>：</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rPr>
        <w:t>业务流程重组</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b/>
          <w:bCs/>
          <w:sz w:val="21"/>
          <w:szCs w:val="21"/>
        </w:rPr>
        <w:t>二、填空题：</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1、根据内部控制的要求，凭证</w:t>
      </w:r>
      <w:r>
        <w:rPr>
          <w:rFonts w:hint="eastAsia" w:ascii="宋体" w:hAnsi="宋体" w:eastAsia="宋体" w:cs="宋体"/>
          <w:sz w:val="21"/>
          <w:szCs w:val="21"/>
          <w:u w:val="single"/>
        </w:rPr>
        <w:t xml:space="preserve">               </w:t>
      </w:r>
      <w:r>
        <w:rPr>
          <w:rFonts w:hint="eastAsia" w:ascii="宋体" w:hAnsi="宋体" w:eastAsia="宋体" w:cs="宋体"/>
          <w:sz w:val="21"/>
          <w:szCs w:val="21"/>
        </w:rPr>
        <w:t>和</w:t>
      </w:r>
      <w:r>
        <w:rPr>
          <w:rFonts w:hint="eastAsia" w:ascii="宋体" w:hAnsi="宋体" w:eastAsia="宋体" w:cs="宋体"/>
          <w:sz w:val="21"/>
          <w:szCs w:val="21"/>
          <w:u w:val="single"/>
        </w:rPr>
        <w:t xml:space="preserve">               </w:t>
      </w:r>
      <w:r>
        <w:rPr>
          <w:rFonts w:hint="eastAsia" w:ascii="宋体" w:hAnsi="宋体" w:eastAsia="宋体" w:cs="宋体"/>
          <w:sz w:val="21"/>
          <w:szCs w:val="21"/>
        </w:rPr>
        <w:t>不能是同一人。</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2、软件生命周期通常将信息系统划分为</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、系统实施和</w:t>
      </w:r>
      <w:r>
        <w:rPr>
          <w:rFonts w:hint="eastAsia" w:ascii="宋体" w:hAnsi="宋体" w:eastAsia="宋体" w:cs="宋体"/>
          <w:sz w:val="21"/>
          <w:szCs w:val="21"/>
          <w:u w:val="single"/>
        </w:rPr>
        <w:t xml:space="preserve">              </w:t>
      </w:r>
      <w:r>
        <w:rPr>
          <w:rFonts w:hint="eastAsia" w:ascii="宋体" w:hAnsi="宋体" w:eastAsia="宋体" w:cs="宋体"/>
          <w:sz w:val="21"/>
          <w:szCs w:val="21"/>
        </w:rPr>
        <w:t>五个阶段。</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3、系统初始化的内容因</w:t>
      </w:r>
      <w:r>
        <w:rPr>
          <w:rFonts w:hint="eastAsia" w:ascii="宋体" w:hAnsi="宋体" w:eastAsia="宋体" w:cs="宋体"/>
          <w:sz w:val="21"/>
          <w:szCs w:val="21"/>
          <w:u w:val="single"/>
        </w:rPr>
        <w:t xml:space="preserve">              </w:t>
      </w:r>
      <w:r>
        <w:rPr>
          <w:rFonts w:hint="eastAsia" w:ascii="宋体" w:hAnsi="宋体" w:eastAsia="宋体" w:cs="宋体"/>
          <w:sz w:val="21"/>
          <w:szCs w:val="21"/>
        </w:rPr>
        <w:t>而定。</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4、由于电子数据可在任何时间、任何地点发送，具有较大的不确定性，因此</w:t>
      </w:r>
      <w:r>
        <w:rPr>
          <w:rFonts w:hint="eastAsia" w:ascii="宋体" w:hAnsi="宋体" w:eastAsia="宋体" w:cs="宋体"/>
          <w:sz w:val="21"/>
          <w:szCs w:val="21"/>
          <w:u w:val="single"/>
        </w:rPr>
        <w:t xml:space="preserve">               </w:t>
      </w:r>
      <w:r>
        <w:rPr>
          <w:rFonts w:hint="eastAsia" w:ascii="宋体" w:hAnsi="宋体" w:eastAsia="宋体" w:cs="宋体"/>
          <w:sz w:val="21"/>
          <w:szCs w:val="21"/>
        </w:rPr>
        <w:t>更适合于电子商务。</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r>
        <w:rPr>
          <w:rFonts w:hint="eastAsia" w:ascii="宋体" w:hAnsi="宋体" w:eastAsia="宋体" w:cs="宋体"/>
          <w:sz w:val="21"/>
          <w:szCs w:val="21"/>
        </w:rPr>
        <w:t>5、互联网上的财务报告的文本格式主要有三种，即</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和交互式格式。</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rPr>
        <w:t>三、简答题：</w:t>
      </w:r>
      <w:r>
        <w:rPr>
          <w:rFonts w:hint="eastAsia" w:ascii="宋体" w:hAnsi="宋体" w:eastAsia="宋体" w:cs="宋体"/>
          <w:b/>
          <w:bCs/>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1、简述系统直接修改的步骤。</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rPr>
        <w:t>简述会计信息系统存在的风险。</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简述移动商务的特点。</w:t>
      </w:r>
      <w:r>
        <w:rPr>
          <w:rFonts w:hint="eastAsia" w:ascii="宋体" w:hAnsi="宋体" w:eastAsia="宋体" w:cs="宋体"/>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rPr>
        <w:t>四、设计题：</w:t>
      </w:r>
      <w:r>
        <w:rPr>
          <w:rFonts w:hint="eastAsia" w:ascii="宋体" w:hAnsi="宋体" w:eastAsia="宋体" w:cs="宋体"/>
          <w:b/>
          <w:bCs/>
          <w:sz w:val="21"/>
          <w:szCs w:val="21"/>
          <w:lang w:val="en-US" w:eastAsia="zh-CN"/>
        </w:rPr>
        <w:t xml:space="preserve"> </w:t>
      </w:r>
    </w:p>
    <w:p>
      <w:pPr>
        <w:pStyle w:val="2"/>
        <w:keepNext w:val="0"/>
        <w:keepLines w:val="0"/>
        <w:pageBreakBefore w:val="0"/>
        <w:tabs>
          <w:tab w:val="left" w:pos="840"/>
        </w:tabs>
        <w:kinsoku/>
        <w:wordWrap/>
        <w:overflowPunct/>
        <w:topLinePunct w:val="0"/>
        <w:autoSpaceDE/>
        <w:autoSpaceDN/>
        <w:bidi w:val="0"/>
        <w:adjustRightInd/>
        <w:snapToGrid/>
        <w:spacing w:before="0" w:beforeAutospacing="0" w:after="0" w:afterAutospacing="0" w:line="240" w:lineRule="auto"/>
        <w:jc w:val="both"/>
        <w:textAlignment w:val="auto"/>
        <w:rPr>
          <w:rFonts w:hint="eastAsia" w:ascii="宋体" w:hAnsi="宋体" w:eastAsia="宋体" w:cs="宋体"/>
          <w:sz w:val="21"/>
          <w:szCs w:val="21"/>
        </w:rPr>
      </w:pPr>
      <w:r>
        <w:rPr>
          <w:rFonts w:hint="eastAsia" w:ascii="宋体" w:hAnsi="宋体" w:eastAsia="宋体" w:cs="宋体"/>
          <w:sz w:val="21"/>
          <w:szCs w:val="21"/>
        </w:rPr>
        <w:t xml:space="preserve">请分析下述问题，并写出操作思路。 </w:t>
      </w:r>
    </w:p>
    <w:p>
      <w:pPr>
        <w:pStyle w:val="2"/>
        <w:keepNext w:val="0"/>
        <w:keepLines w:val="0"/>
        <w:pageBreakBefore w:val="0"/>
        <w:tabs>
          <w:tab w:val="left" w:pos="840"/>
        </w:tabs>
        <w:kinsoku/>
        <w:wordWrap/>
        <w:overflowPunct/>
        <w:topLinePunct w:val="0"/>
        <w:autoSpaceDE/>
        <w:autoSpaceDN/>
        <w:bidi w:val="0"/>
        <w:adjustRightInd/>
        <w:snapToGrid/>
        <w:spacing w:before="0" w:beforeAutospacing="0" w:after="0" w:afterAutospacing="0" w:line="24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 xml:space="preserve">华兴公司使用用友ERP U-8软件进行日常账务处理，总账系统的用户在操作过程中遇到如下问题：2012年1月8日，华兴公司销售甲产品一批给大地公司，货款当天以工行转账支票的形式收到，制单员当日填制收字0008记账凭证一张。2012年1月15日，制单员发现他所填制的收字0008记账凭证中借方科目误将“银行存款——工行存款”填成了“银行存款——中行存款”，试图去修改该张凭证，结果发现收字0008记账凭证已被记账，请问制单员应该如何去改正收字0008记账凭证中的错误？ </w:t>
      </w:r>
    </w:p>
    <w:p>
      <w:pPr>
        <w:spacing w:line="240" w:lineRule="auto"/>
        <w:rPr>
          <w:rFonts w:hint="eastAsia" w:ascii="宋体" w:hAnsi="宋体" w:eastAsia="宋体" w:cs="宋体"/>
          <w:sz w:val="21"/>
          <w:szCs w:val="21"/>
          <w:lang w:eastAsia="zh-CN"/>
        </w:rPr>
      </w:pPr>
      <w:r>
        <w:rPr>
          <w:rFonts w:hint="eastAsia" w:ascii="宋体" w:hAnsi="宋体" w:eastAsia="宋体" w:cs="宋体"/>
          <w:b/>
          <w:bCs/>
          <w:sz w:val="21"/>
          <w:szCs w:val="21"/>
        </w:rPr>
        <w:t>五、案例分析题</w:t>
      </w:r>
      <w:r>
        <w:rPr>
          <w:rFonts w:hint="eastAsia" w:ascii="宋体" w:hAnsi="宋体" w:eastAsia="宋体" w:cs="宋体"/>
          <w:b/>
          <w:bCs/>
          <w:sz w:val="21"/>
          <w:szCs w:val="21"/>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ind w:firstLine="411" w:firstLineChars="196"/>
        <w:textAlignment w:val="auto"/>
        <w:rPr>
          <w:rFonts w:hint="eastAsia" w:ascii="宋体" w:hAnsi="宋体" w:eastAsia="宋体" w:cs="宋体"/>
          <w:b/>
          <w:kern w:val="0"/>
          <w:sz w:val="21"/>
          <w:szCs w:val="21"/>
        </w:rPr>
      </w:pPr>
      <w:r>
        <w:rPr>
          <w:rFonts w:hint="eastAsia" w:ascii="宋体" w:hAnsi="宋体" w:eastAsia="宋体" w:cs="宋体"/>
          <w:bCs/>
          <w:kern w:val="0"/>
          <w:sz w:val="21"/>
          <w:szCs w:val="21"/>
        </w:rPr>
        <w:t>资料（一）</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同济堂是一家集科研、生产、销售、种植为一体的高新技术药业。始创于清光绪十四年（公元1888年），乃百年老字号。以“遵古炮制、备货齐全”，并聘请名医坐诊而闻名，“秤足质好、药采道地、明码实价、诚实待人、童叟无欺”而受信赖。同济堂制成的各种成药，对其主治病症卓有疗效，一经问世，口碑相传。同济堂始终以“为民除病，济世为民”为宗旨，把经济效益寓于社会效益之中，也因此兴旺至今。</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kern w:val="0"/>
          <w:sz w:val="21"/>
          <w:szCs w:val="21"/>
        </w:rPr>
      </w:pPr>
      <w:r>
        <w:rPr>
          <w:rFonts w:hint="eastAsia" w:ascii="宋体" w:hAnsi="宋体" w:eastAsia="宋体" w:cs="宋体"/>
          <w:sz w:val="21"/>
          <w:szCs w:val="21"/>
        </w:rPr>
        <w:t>公司以同济堂制药有限公司为中心，分别成立了贵州同济堂制药有限公司制药二厂、贵州同济堂药品配送有限公司、贵州同济堂药房连锁有限公司、贵州同济堂中药饮片有限公司、贵州同济堂文化传播公司5个全资子公司。</w:t>
      </w:r>
      <w:r>
        <w:rPr>
          <w:rFonts w:hint="eastAsia" w:ascii="宋体" w:hAnsi="宋体" w:eastAsia="宋体" w:cs="宋体"/>
          <w:kern w:val="0"/>
          <w:sz w:val="21"/>
          <w:szCs w:val="21"/>
        </w:rPr>
        <w:t xml:space="preserve"> </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资料（二）</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同济堂公司发展到如今的规模实属不易，企业的发展离不开资金、技术和人员等等综合要素，此外，先进的管理思想保证了企业在激烈的市场竞争中立于不败之地。ERP系统正是集众多企业成功经营管理模式与知识的工具，二十一世纪企业信息化程度和水平构建了企业自身的核心竞争力。</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实施ERP系统成为同济堂最重要的发展战略之一。</w:t>
      </w:r>
    </w:p>
    <w:p>
      <w:pPr>
        <w:keepNext w:val="0"/>
        <w:keepLines w:val="0"/>
        <w:pageBreakBefore w:val="0"/>
        <w:numPr>
          <w:ilvl w:val="0"/>
          <w:numId w:val="1"/>
        </w:numPr>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企业营销网络遍布全国，数据传递以往依靠电子邮件、传真、快递等方式，而没有一个统一的平台进行处理，这样造成各地销售数据传达滞后，总部不能及时掌握各地销售情况和库存情况，而不能在第一时间做出正确的判断与决策。</w:t>
      </w:r>
    </w:p>
    <w:p>
      <w:pPr>
        <w:keepNext w:val="0"/>
        <w:keepLines w:val="0"/>
        <w:pageBreakBefore w:val="0"/>
        <w:numPr>
          <w:ilvl w:val="0"/>
          <w:numId w:val="1"/>
        </w:numPr>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企业各部门之间数据不共享，工作效率不高、协调性差，市场灵敏度也随之受到影响。</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面对这些问题所带来的挑战，同济堂并没有退缩，而是果敢的决定以信息化建设来提升企业管理能力让企业发展迈上新台阶。</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资料（三）</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xml:space="preserve">基于前期的规划与调研，同济堂ERP项目共分为二期：（1）包含应收管理子系统、应付管理子系统、自动分录子系统、会计总账子系统、存货管理系统、采购管理系统、销售管理系统、资产管理系统、工作流等模块，主要解决销售、采购、库存、财务数据的准确性、及时性、共享性等问题以及各业务单据、报销凭证走网上审批流程，实现无纸化办公。（2）包含产品结构管理、工艺管理等其他模块，实现生产、成本、计划等方面的全面管理。   </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前期调查企业存在的管理问题：（1）库存、批号的管理问题，同济堂的库存物资不算多，但因其行业特性对各种中成药、中草药、包装材料都有严格的批号管理，在原来手工方式下，批号易出现人为错误，批号库存不清的问题一直困扰着同济堂。（2）销售数据的统计问题，同济堂营销网络遍布全国，信息分散无法共享和集成、信息传递方式落后，总部总是不能及时了解各地办事处销售及库存情况，因此错失商机时有发生。（3）财务数据与业务数据核对困难，同济堂使用了一套单独的财务软件，每月出报表可以，但没有与业务单位集成，造成每月财务部门要花大量精力与业务部门进行对账。</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神州数码顾问与信息中心技术人员深入到每一个部门详细了解同济堂的需求和问题，提出有针对性地解决方案。</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在经过前期调研和方案确定后，双方的行动方案和目标更加明确。从流程整理、基础数据准备、培训、二次开发、模拟运行、正式上线一路走来，虽然中途也经历过挫折、神州数码和同济堂的项目组也曾为一个问题的解决方法反复修改过或激烈的争论过，但这些都无法阻止同济堂ERP系统的成功上线。</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Cs/>
          <w:sz w:val="21"/>
          <w:szCs w:val="21"/>
        </w:rPr>
      </w:pPr>
      <w:r>
        <w:rPr>
          <w:rFonts w:hint="eastAsia" w:ascii="宋体" w:hAnsi="宋体" w:eastAsia="宋体" w:cs="宋体"/>
          <w:bCs/>
          <w:kern w:val="0"/>
          <w:sz w:val="21"/>
          <w:szCs w:val="21"/>
        </w:rPr>
        <w:t>资料</w:t>
      </w:r>
      <w:r>
        <w:rPr>
          <w:rFonts w:hint="eastAsia" w:ascii="宋体" w:hAnsi="宋体" w:eastAsia="宋体" w:cs="宋体"/>
          <w:bCs/>
          <w:kern w:val="0"/>
          <w:sz w:val="21"/>
          <w:szCs w:val="21"/>
          <w:lang w:eastAsia="zh-CN"/>
        </w:rPr>
        <w:t>（</w:t>
      </w:r>
      <w:r>
        <w:rPr>
          <w:rFonts w:hint="eastAsia" w:ascii="宋体" w:hAnsi="宋体" w:eastAsia="宋体" w:cs="宋体"/>
          <w:bCs/>
          <w:kern w:val="0"/>
          <w:sz w:val="21"/>
          <w:szCs w:val="21"/>
        </w:rPr>
        <w:t>四</w:t>
      </w:r>
      <w:r>
        <w:rPr>
          <w:rFonts w:hint="eastAsia" w:ascii="宋体" w:hAnsi="宋体" w:eastAsia="宋体" w:cs="宋体"/>
          <w:bCs/>
          <w:kern w:val="0"/>
          <w:sz w:val="21"/>
          <w:szCs w:val="21"/>
          <w:lang w:eastAsia="zh-CN"/>
        </w:rPr>
        <w:t>）</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同济堂ERP项目历时4个月时间，实现了进销存业务与财务的一体化管理，进销存及应收、应付业务凭证完全通过自动生成，无需手工录入。每月只要财务作完凭证，系统可以自动核对，方便快捷，使财务人员和业务人员有更多的时间投入到业务研究和管理中，从而提高了自身的业务水平。</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b/>
          <w:sz w:val="21"/>
          <w:szCs w:val="21"/>
        </w:rPr>
        <w:t>请在阅读完全部材料的基础上，回答以下问题：</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1、同仁堂为什么要实施ERP项目？</w:t>
      </w:r>
      <w:r>
        <w:rPr>
          <w:rFonts w:hint="eastAsia" w:ascii="宋体" w:hAnsi="宋体" w:eastAsia="宋体" w:cs="宋体"/>
          <w:kern w:val="0"/>
          <w:sz w:val="21"/>
          <w:szCs w:val="21"/>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2、同仁堂ERP项目实施成效如何？</w:t>
      </w:r>
      <w:r>
        <w:rPr>
          <w:rFonts w:hint="eastAsia" w:ascii="宋体" w:hAnsi="宋体" w:eastAsia="宋体" w:cs="宋体"/>
          <w:kern w:val="0"/>
          <w:sz w:val="21"/>
          <w:szCs w:val="21"/>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3、请你详细谈谈同仁堂ERP项目为什么会成功？</w:t>
      </w:r>
      <w:r>
        <w:rPr>
          <w:rFonts w:hint="eastAsia" w:ascii="宋体" w:hAnsi="宋体" w:eastAsia="宋体" w:cs="宋体"/>
          <w:kern w:val="0"/>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rPr>
        <w:t>六、论述题</w:t>
      </w:r>
      <w:r>
        <w:rPr>
          <w:rFonts w:hint="eastAsia" w:ascii="宋体" w:hAnsi="宋体" w:eastAsia="宋体" w:cs="宋体"/>
          <w:b/>
          <w:bCs/>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以BtoC为例，请你谈谈第三方支付的实现流程及其优缺点。</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spacing w:line="240" w:lineRule="auto"/>
        <w:rPr>
          <w:rFonts w:hint="eastAsia" w:ascii="宋体" w:hAnsi="宋体" w:eastAsia="宋体" w:cs="宋体"/>
          <w:b/>
          <w:bCs/>
          <w:sz w:val="21"/>
          <w:szCs w:val="21"/>
          <w:lang w:val="en-US" w:eastAsia="zh-CN"/>
        </w:rPr>
      </w:pPr>
    </w:p>
    <w:p>
      <w:pPr>
        <w:spacing w:line="240" w:lineRule="auto"/>
        <w:rPr>
          <w:rFonts w:hint="eastAsia" w:ascii="宋体" w:hAnsi="宋体" w:eastAsia="宋体" w:cs="宋体"/>
          <w:b/>
          <w:bCs/>
          <w:sz w:val="21"/>
          <w:szCs w:val="21"/>
          <w:lang w:val="en-US" w:eastAsia="zh-CN"/>
        </w:rPr>
      </w:pPr>
      <w:bookmarkStart w:id="0" w:name="_GoBack"/>
      <w:bookmarkEnd w:id="0"/>
    </w:p>
    <w:p>
      <w:pPr>
        <w:spacing w:line="240" w:lineRule="auto"/>
        <w:ind w:firstLine="3795" w:firstLineChars="1800"/>
        <w:rPr>
          <w:rFonts w:hint="eastAsia" w:ascii="宋体" w:hAnsi="宋体" w:eastAsia="宋体" w:cs="宋体"/>
          <w:b/>
          <w:bCs/>
          <w:sz w:val="21"/>
          <w:szCs w:val="21"/>
          <w:lang w:eastAsia="zh-CN"/>
        </w:rPr>
      </w:pPr>
      <w:r>
        <w:rPr>
          <w:rFonts w:hint="eastAsia" w:ascii="宋体" w:hAnsi="宋体" w:eastAsia="宋体" w:cs="宋体"/>
          <w:b/>
          <w:bCs/>
          <w:sz w:val="21"/>
          <w:szCs w:val="21"/>
          <w:lang w:val="en-US" w:eastAsia="zh-CN"/>
        </w:rPr>
        <w:t>电算会计化</w:t>
      </w:r>
      <w:r>
        <w:rPr>
          <w:rFonts w:hint="eastAsia" w:ascii="宋体" w:hAnsi="宋体" w:cs="宋体"/>
          <w:b/>
          <w:bCs/>
          <w:sz w:val="21"/>
          <w:szCs w:val="21"/>
          <w:lang w:val="en-US" w:eastAsia="zh-CN"/>
        </w:rPr>
        <w:t>复习资料</w:t>
      </w:r>
      <w:r>
        <w:rPr>
          <w:rFonts w:hint="eastAsia" w:ascii="宋体" w:hAnsi="宋体" w:eastAsia="宋体" w:cs="宋体"/>
          <w:b/>
          <w:bCs/>
          <w:sz w:val="21"/>
          <w:szCs w:val="21"/>
          <w:lang w:eastAsia="zh-CN"/>
        </w:rPr>
        <w:t>答案</w:t>
      </w:r>
    </w:p>
    <w:p>
      <w:pPr>
        <w:spacing w:line="240" w:lineRule="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一、名词解释</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1、信息简单地理解为对数据按一定的目的加工处理后得到的结果，这一结果对人们决策行为产生影响。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2、会计信息系统管理是指基层单位开展会计电算化、信息化的一些管理办法、措施和制度的总称。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3、数字签名实际上是电子数据文件中一组用二进制数0、1表示的字符串。它是通过加密技术，在发送方和接收方之间经过加密、解密转换实现的。</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4、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二、</w:t>
      </w:r>
      <w:r>
        <w:rPr>
          <w:rFonts w:hint="eastAsia" w:ascii="宋体" w:hAnsi="宋体" w:eastAsia="宋体" w:cs="宋体"/>
          <w:sz w:val="21"/>
          <w:szCs w:val="21"/>
          <w:lang w:val="en-US" w:eastAsia="zh-CN"/>
        </w:rPr>
        <w:t xml:space="preserve">填空题： </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rPr>
        <w:t>输入员</w:t>
      </w:r>
      <w:r>
        <w:rPr>
          <w:rFonts w:hint="eastAsia" w:ascii="宋体" w:hAnsi="宋体" w:eastAsia="宋体" w:cs="宋体"/>
          <w:sz w:val="21"/>
          <w:szCs w:val="21"/>
          <w:lang w:eastAsia="zh-CN"/>
        </w:rPr>
        <w:t>、</w:t>
      </w:r>
      <w:r>
        <w:rPr>
          <w:rFonts w:hint="eastAsia" w:ascii="宋体" w:hAnsi="宋体" w:eastAsia="宋体" w:cs="宋体"/>
          <w:sz w:val="21"/>
          <w:szCs w:val="21"/>
        </w:rPr>
        <w:t>审核员</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rPr>
        <w:t>系统规划</w:t>
      </w:r>
      <w:r>
        <w:rPr>
          <w:rFonts w:hint="eastAsia" w:ascii="宋体" w:hAnsi="宋体" w:eastAsia="宋体" w:cs="宋体"/>
          <w:sz w:val="21"/>
          <w:szCs w:val="21"/>
          <w:lang w:eastAsia="zh-CN"/>
        </w:rPr>
        <w:t>、</w:t>
      </w:r>
      <w:r>
        <w:rPr>
          <w:rFonts w:hint="eastAsia" w:ascii="宋体" w:hAnsi="宋体" w:eastAsia="宋体" w:cs="宋体"/>
          <w:sz w:val="21"/>
          <w:szCs w:val="21"/>
        </w:rPr>
        <w:t>系统分析</w:t>
      </w:r>
      <w:r>
        <w:rPr>
          <w:rFonts w:hint="eastAsia" w:ascii="宋体" w:hAnsi="宋体" w:eastAsia="宋体" w:cs="宋体"/>
          <w:sz w:val="21"/>
          <w:szCs w:val="21"/>
          <w:lang w:eastAsia="zh-CN"/>
        </w:rPr>
        <w:t>、</w:t>
      </w:r>
      <w:r>
        <w:rPr>
          <w:rFonts w:hint="eastAsia" w:ascii="宋体" w:hAnsi="宋体" w:eastAsia="宋体" w:cs="宋体"/>
          <w:sz w:val="21"/>
          <w:szCs w:val="21"/>
        </w:rPr>
        <w:t>系统设计</w:t>
      </w:r>
      <w:r>
        <w:rPr>
          <w:rFonts w:hint="eastAsia" w:ascii="宋体" w:hAnsi="宋体" w:eastAsia="宋体" w:cs="宋体"/>
          <w:sz w:val="21"/>
          <w:szCs w:val="21"/>
          <w:lang w:eastAsia="zh-CN"/>
        </w:rPr>
        <w:t>、</w:t>
      </w:r>
      <w:r>
        <w:rPr>
          <w:rFonts w:hint="eastAsia" w:ascii="宋体" w:hAnsi="宋体" w:eastAsia="宋体" w:cs="宋体"/>
          <w:sz w:val="21"/>
          <w:szCs w:val="21"/>
        </w:rPr>
        <w:t>系统运行维护评价</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rPr>
        <w:t>软件</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rPr>
        <w:t>到达生效规则</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5、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三</w:t>
      </w:r>
      <w:r>
        <w:rPr>
          <w:rFonts w:hint="eastAsia" w:ascii="宋体" w:hAnsi="宋体" w:eastAsia="宋体" w:cs="宋体"/>
          <w:sz w:val="21"/>
          <w:szCs w:val="21"/>
        </w:rPr>
        <w:t>、简答题：</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1、答：</w:t>
      </w:r>
      <w:r>
        <w:rPr>
          <w:rFonts w:hint="eastAsia" w:ascii="宋体" w:hAnsi="宋体" w:eastAsia="宋体" w:cs="宋体"/>
          <w:sz w:val="21"/>
          <w:szCs w:val="21"/>
        </w:rPr>
        <w:t>系统直接修改的步骤</w:t>
      </w:r>
      <w:r>
        <w:rPr>
          <w:rFonts w:hint="eastAsia" w:ascii="宋体" w:hAnsi="宋体" w:eastAsia="宋体" w:cs="宋体"/>
          <w:sz w:val="21"/>
          <w:szCs w:val="21"/>
          <w:lang w:val="en-US" w:eastAsia="zh-CN"/>
        </w:rPr>
        <w:t xml:space="preserve">包括：（1）提出修改申请；（2）修改申请的分析；（3）系统修改的实施；（4）系统审批；（5）项目转换。 </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2、答：</w:t>
      </w:r>
      <w:r>
        <w:rPr>
          <w:rFonts w:hint="eastAsia" w:ascii="宋体" w:hAnsi="宋体" w:eastAsia="宋体" w:cs="宋体"/>
          <w:sz w:val="21"/>
          <w:szCs w:val="21"/>
        </w:rPr>
        <w:t>会计信息系统存在的风险</w:t>
      </w:r>
      <w:r>
        <w:rPr>
          <w:rFonts w:hint="eastAsia" w:ascii="宋体" w:hAnsi="宋体" w:eastAsia="宋体" w:cs="宋体"/>
          <w:sz w:val="21"/>
          <w:szCs w:val="21"/>
          <w:lang w:val="en-US" w:eastAsia="zh-CN"/>
        </w:rPr>
        <w:t xml:space="preserve">包括：（1）系统故障风险；（2）电算化系统本身特有的风险；（3）内部人员道德风险；（4）系统关联方道德风险；（5）社会道德风险。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3、答：</w:t>
      </w:r>
      <w:r>
        <w:rPr>
          <w:rFonts w:hint="eastAsia" w:ascii="宋体" w:hAnsi="宋体" w:eastAsia="宋体" w:cs="宋体"/>
          <w:sz w:val="21"/>
          <w:szCs w:val="21"/>
        </w:rPr>
        <w:t>移动商务的特点</w:t>
      </w:r>
      <w:r>
        <w:rPr>
          <w:rFonts w:hint="eastAsia" w:ascii="宋体" w:hAnsi="宋体" w:eastAsia="宋体" w:cs="宋体"/>
          <w:sz w:val="21"/>
          <w:szCs w:val="21"/>
          <w:lang w:val="en-US" w:eastAsia="zh-CN"/>
        </w:rPr>
        <w:t xml:space="preserve">包括：（1）更具开放性、包容性；（2）更具无处不在、随时对地的特点；（3）潜在用户规模大；（4）能较好地确认用户身份；（5）定制化服务；（6）移动电子商务易于推广使用；（7）移动电子商务领域更易于技术创新。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 xml:space="preserve">四、设计题：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答：</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五、案例分析题： </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案例题必须充分论述</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rPr>
      </w:pPr>
      <w:r>
        <w:rPr>
          <w:rFonts w:hint="eastAsia" w:ascii="宋体" w:hAnsi="宋体" w:eastAsia="宋体" w:cs="宋体"/>
          <w:kern w:val="0"/>
          <w:sz w:val="21"/>
          <w:szCs w:val="21"/>
        </w:rPr>
        <w:t>1、</w:t>
      </w:r>
      <w:r>
        <w:rPr>
          <w:rFonts w:hint="eastAsia" w:ascii="宋体" w:hAnsi="宋体" w:eastAsia="宋体" w:cs="宋体"/>
          <w:sz w:val="21"/>
          <w:szCs w:val="21"/>
          <w:lang w:val="en-US" w:eastAsia="zh-CN"/>
        </w:rPr>
        <w:t>答：</w:t>
      </w:r>
      <w:r>
        <w:rPr>
          <w:rFonts w:hint="eastAsia" w:ascii="宋体" w:hAnsi="宋体" w:eastAsia="宋体" w:cs="宋体"/>
          <w:sz w:val="21"/>
          <w:szCs w:val="21"/>
        </w:rPr>
        <w:t>（1）库存、批号的管理问题；（2）销售数据的统计问题；（3）业务和财务协同问题。</w:t>
      </w:r>
      <w:r>
        <w:rPr>
          <w:rFonts w:hint="eastAsia" w:ascii="宋体" w:hAnsi="宋体" w:eastAsia="宋体" w:cs="宋体"/>
          <w:sz w:val="21"/>
          <w:szCs w:val="21"/>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r>
        <w:rPr>
          <w:rFonts w:hint="eastAsia" w:ascii="宋体" w:hAnsi="宋体" w:eastAsia="宋体" w:cs="宋体"/>
          <w:sz w:val="21"/>
          <w:szCs w:val="21"/>
        </w:rPr>
        <w:t>答：（1）库存管理得到改善；（2）实现了进销存业务与财务的一体化管理；（3）信息收集、传递和集成得到改善；（4）财务人员和业务人员提高了自身的业务水平</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lang w:eastAsia="zh-CN"/>
        </w:rPr>
      </w:pPr>
      <w:r>
        <w:rPr>
          <w:rFonts w:hint="eastAsia" w:ascii="宋体" w:hAnsi="宋体" w:eastAsia="宋体" w:cs="宋体"/>
          <w:kern w:val="0"/>
          <w:sz w:val="21"/>
          <w:szCs w:val="21"/>
        </w:rPr>
        <w:t>3、</w:t>
      </w:r>
      <w:r>
        <w:rPr>
          <w:rFonts w:hint="eastAsia" w:ascii="宋体" w:hAnsi="宋体" w:eastAsia="宋体" w:cs="宋体"/>
          <w:sz w:val="21"/>
          <w:szCs w:val="21"/>
        </w:rPr>
        <w:t>答：（1）领导高度重视；（2）前期准备工作充分；（3）确立了明确的系统目标；（4）专业化的实施顾问；（5）分布实施策略；（6）高度重视数据的准确性</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p>
    <w:p>
      <w:pPr>
        <w:spacing w:line="240" w:lineRule="auto"/>
        <w:rPr>
          <w:rFonts w:hint="eastAsia" w:ascii="宋体" w:hAnsi="宋体" w:eastAsia="宋体" w:cs="宋体"/>
          <w:b/>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六</w:t>
      </w:r>
      <w:r>
        <w:rPr>
          <w:rFonts w:hint="eastAsia" w:ascii="宋体" w:hAnsi="宋体" w:eastAsia="宋体" w:cs="宋体"/>
          <w:sz w:val="21"/>
          <w:szCs w:val="21"/>
        </w:rPr>
        <w:t>、论述题：</w:t>
      </w:r>
      <w:r>
        <w:rPr>
          <w:rFonts w:hint="eastAsia" w:ascii="宋体" w:hAnsi="宋体" w:eastAsia="宋体" w:cs="宋体"/>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ind w:right="454"/>
        <w:textAlignment w:val="auto"/>
        <w:rPr>
          <w:rFonts w:hint="eastAsia" w:ascii="宋体" w:hAnsi="宋体" w:eastAsia="宋体" w:cs="宋体"/>
          <w:sz w:val="21"/>
          <w:szCs w:val="21"/>
        </w:rPr>
      </w:pPr>
      <w:r>
        <w:rPr>
          <w:rFonts w:hint="eastAsia" w:ascii="宋体" w:hAnsi="宋体" w:eastAsia="宋体" w:cs="宋体"/>
          <w:sz w:val="21"/>
          <w:szCs w:val="21"/>
        </w:rPr>
        <w:t>答：</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w:t>
      </w:r>
      <w:r>
        <w:rPr>
          <w:rFonts w:hint="eastAsia" w:ascii="宋体" w:hAnsi="宋体" w:eastAsia="宋体" w:cs="宋体"/>
          <w:sz w:val="21"/>
          <w:szCs w:val="21"/>
        </w:rPr>
        <w:t>以BtoC为例，第三方支付的实现流程为：</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p>
    <w:sectPr>
      <w:footerReference r:id="rId3" w:type="default"/>
      <w:pgSz w:w="11906" w:h="16838"/>
      <w:pgMar w:top="1020" w:right="1049" w:bottom="1117" w:left="98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A510CA"/>
    <w:rsid w:val="055F78E7"/>
    <w:rsid w:val="08421BC2"/>
    <w:rsid w:val="099173FF"/>
    <w:rsid w:val="0AFB6B0E"/>
    <w:rsid w:val="0DBC76E9"/>
    <w:rsid w:val="0F741E5D"/>
    <w:rsid w:val="162A79B4"/>
    <w:rsid w:val="19FB5941"/>
    <w:rsid w:val="1B8B26B1"/>
    <w:rsid w:val="1CF05564"/>
    <w:rsid w:val="1FF377EA"/>
    <w:rsid w:val="22411BB8"/>
    <w:rsid w:val="22A4172D"/>
    <w:rsid w:val="249270F6"/>
    <w:rsid w:val="2588485E"/>
    <w:rsid w:val="260F4146"/>
    <w:rsid w:val="279167E2"/>
    <w:rsid w:val="2B7774DC"/>
    <w:rsid w:val="2DDA3789"/>
    <w:rsid w:val="306468DF"/>
    <w:rsid w:val="3284444E"/>
    <w:rsid w:val="34472BE8"/>
    <w:rsid w:val="344F0617"/>
    <w:rsid w:val="37244462"/>
    <w:rsid w:val="383F454B"/>
    <w:rsid w:val="38721E1E"/>
    <w:rsid w:val="389A7264"/>
    <w:rsid w:val="39291319"/>
    <w:rsid w:val="3A795A72"/>
    <w:rsid w:val="3D8C0461"/>
    <w:rsid w:val="3DA75B62"/>
    <w:rsid w:val="3ED63EFA"/>
    <w:rsid w:val="421A74BD"/>
    <w:rsid w:val="433301FF"/>
    <w:rsid w:val="43C035F9"/>
    <w:rsid w:val="479277AF"/>
    <w:rsid w:val="480A0678"/>
    <w:rsid w:val="4859729E"/>
    <w:rsid w:val="4CE43E7B"/>
    <w:rsid w:val="4D890CE6"/>
    <w:rsid w:val="4DBA1301"/>
    <w:rsid w:val="553D0F91"/>
    <w:rsid w:val="5AEC7963"/>
    <w:rsid w:val="5BD31882"/>
    <w:rsid w:val="5CC275B9"/>
    <w:rsid w:val="5E0271E1"/>
    <w:rsid w:val="61943F6F"/>
    <w:rsid w:val="629F134E"/>
    <w:rsid w:val="63EE2113"/>
    <w:rsid w:val="65283F13"/>
    <w:rsid w:val="655D641C"/>
    <w:rsid w:val="67261F73"/>
    <w:rsid w:val="6D6F74B6"/>
    <w:rsid w:val="725F17E7"/>
    <w:rsid w:val="73654576"/>
    <w:rsid w:val="73E65785"/>
    <w:rsid w:val="783118B5"/>
    <w:rsid w:val="793D39E6"/>
    <w:rsid w:val="7DA510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widowControl/>
      <w:spacing w:before="100" w:beforeAutospacing="1" w:after="100" w:afterAutospacing="1"/>
      <w:jc w:val="left"/>
    </w:pPr>
    <w:rPr>
      <w:rFonts w:ascii="宋体" w:hAnsi="宋体"/>
      <w:kern w:val="0"/>
      <w:sz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2021-04-23T14:06:00Z</dcterms:created>
  <dc:creator>yang ych</dc:creator>
  <cp:lastModifiedBy>user</cp:lastModifiedBy>
  <dcterms:modified xsi:type="dcterms:W3CDTF">2021-12-17T07:04:37Z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F4195BD7579845CBA6DED8C79DB574B0</vt:lpwstr>
  </property>
</Properties>
</file>