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cs="宋体"/>
          <w:b/>
          <w:bCs/>
          <w:sz w:val="32"/>
          <w:szCs w:val="32"/>
          <w:lang w:val="en-US" w:eastAsia="zh-CN"/>
        </w:rPr>
      </w:pPr>
      <w:bookmarkStart w:id="0" w:name="_GoBack"/>
      <w:r>
        <w:rPr>
          <w:rFonts w:hint="eastAsia" w:ascii="宋体" w:hAnsi="宋体" w:cs="宋体"/>
          <w:b/>
          <w:bCs/>
          <w:sz w:val="32"/>
          <w:szCs w:val="32"/>
        </w:rPr>
        <w:t>税收实务</w:t>
      </w:r>
      <w:r>
        <w:rPr>
          <w:rFonts w:hint="eastAsia" w:ascii="宋体" w:hAnsi="宋体" w:cs="宋体"/>
          <w:b/>
          <w:bCs/>
          <w:sz w:val="32"/>
          <w:szCs w:val="32"/>
          <w:lang w:val="en-US" w:eastAsia="zh-CN"/>
        </w:rPr>
        <w:t>复习资料</w:t>
      </w:r>
    </w:p>
    <w:bookmarkEnd w:id="0"/>
    <w:p>
      <w:pPr>
        <w:pStyle w:val="2"/>
        <w:ind w:left="0" w:right="0" w:firstLine="211"/>
        <w:rPr>
          <w:rFonts w:ascii="宋体" w:hAnsi="宋体" w:eastAsia="宋体" w:cs="宋体"/>
          <w:b/>
          <w:sz w:val="24"/>
          <w:szCs w:val="21"/>
        </w:rPr>
      </w:pPr>
      <w:r>
        <w:rPr>
          <w:rFonts w:ascii="宋体" w:hAnsi="宋体" w:eastAsia="宋体" w:cs="宋体"/>
          <w:b/>
          <w:sz w:val="24"/>
          <w:szCs w:val="21"/>
        </w:rPr>
        <w:t xml:space="preserve">一 单选题 </w:t>
      </w:r>
    </w:p>
    <w:p>
      <w:pPr>
        <w:pStyle w:val="2"/>
        <w:ind w:left="0" w:right="0" w:firstLine="211"/>
        <w:rPr>
          <w:b w:val="0"/>
          <w:i w:val="0"/>
          <w:caps w:val="0"/>
          <w:smallCaps w:val="0"/>
          <w:sz w:val="21"/>
        </w:rPr>
      </w:pPr>
      <w:r>
        <w:rPr>
          <w:rFonts w:ascii="宋体" w:hAnsi="宋体" w:eastAsia="宋体" w:cs="宋体"/>
          <w:b w:val="0"/>
          <w:i w:val="0"/>
          <w:caps w:val="0"/>
          <w:smallCaps w:val="0"/>
          <w:sz w:val="21"/>
          <w:szCs w:val="21"/>
        </w:rPr>
        <w:t>1. 加工贸易进口料件及其制成品需征税的，海关应按照一般进口货物的规定审定完税价格。下列各项中，符合审定完税价格规定的是（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进口时需征税的进料加工进口料件，以该料件申报进口时的价格估定</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内销的进料加工进口料件或其制成品，以该料件申报进口时的价格估定</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内销的来料加工进口料件或其制成品，以该料件申报进口时的价格估定</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出口加工区内的加工企业内销的制成品，以该料件申报进口时的价格估定</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2. 一个地方性水库与三峡工程是不同的，从区分公共需求层次性的角度讲，二者的差异在于（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投资额</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投资主体</w:t>
            </w:r>
            <w:r>
              <w:t xml:space="preserve"> </w:t>
            </w:r>
          </w:p>
        </w:tc>
      </w:tr>
      <w:tr>
        <w:tc>
          <w:tcPr>
            <w:tcW w:w="8312" w:type="dxa"/>
            <w:shd w:val="clear" w:color="auto" w:fill="auto"/>
            <w:noWrap w:val="0"/>
            <w:vAlign w:val="top"/>
          </w:tcPr>
          <w:p>
            <w:pPr>
              <w:pStyle w:val="6"/>
            </w:pPr>
            <w:r>
              <w:rPr>
                <w:b w:val="0"/>
                <w:i w:val="0"/>
                <w:caps w:val="0"/>
                <w:smallCaps w:val="0"/>
                <w:sz w:val="21"/>
              </w:rPr>
              <w:t>C. 收益范围</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投资风险</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3. 我国社会养老保险筹资模式的改革目标应为</w:t>
      </w:r>
      <w:r>
        <w:rPr>
          <w:rFonts w:ascii="宋体" w:hAnsi="宋体" w:eastAsia="宋体" w:cs="宋体"/>
          <w:b w:val="0"/>
          <w:i w:val="0"/>
          <w:caps w:val="0"/>
          <w:smallCaps w:val="0"/>
          <w:sz w:val="21"/>
          <w:szCs w:val="21"/>
          <w:lang w:val="en-US"/>
        </w:rPr>
        <w:t>( )</w:t>
      </w:r>
      <w:r>
        <w:rPr>
          <w:rFonts w:ascii="宋体" w:hAnsi="宋体" w:eastAsia="宋体" w:cs="宋体"/>
          <w:b w:val="0"/>
          <w:i w:val="0"/>
          <w:caps w:val="0"/>
          <w:smallCaps w:val="0"/>
          <w:sz w:val="21"/>
          <w:szCs w:val="21"/>
        </w:rPr>
        <w:t xml:space="preserve">。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现收现付制</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基金制</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收付实现制</w:t>
            </w:r>
            <w:r>
              <w:t xml:space="preserve"> </w:t>
            </w:r>
          </w:p>
        </w:tc>
      </w:tr>
      <w:tr>
        <w:tblPrEx>
          <w:tblCellMar>
            <w:top w:w="0" w:type="dxa"/>
            <w:left w:w="0" w:type="dxa"/>
            <w:bottom w:w="0" w:type="dxa"/>
            <w:right w:w="0" w:type="dxa"/>
          </w:tblCellMar>
        </w:tblPrEx>
        <w:trPr>
          <w:trHeight w:val="357" w:hRule="atLeast"/>
        </w:trPr>
        <w:tc>
          <w:tcPr>
            <w:tcW w:w="8312" w:type="dxa"/>
            <w:shd w:val="clear" w:color="auto" w:fill="auto"/>
            <w:noWrap w:val="0"/>
            <w:vAlign w:val="top"/>
          </w:tcPr>
          <w:p>
            <w:pPr>
              <w:pStyle w:val="6"/>
            </w:pPr>
            <w:r>
              <w:rPr>
                <w:b w:val="0"/>
                <w:i w:val="0"/>
                <w:caps w:val="0"/>
                <w:smallCaps w:val="0"/>
                <w:sz w:val="21"/>
              </w:rPr>
              <w:t>D. 社会保险税</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4. 下列案件中，属于税务行政处罚听证的范围是（ ）</w:t>
      </w:r>
      <w:r>
        <w:rPr>
          <w:rFonts w:ascii="宋体" w:hAnsi="宋体" w:eastAsia="宋体" w:cs="宋体"/>
          <w:b w:val="0"/>
          <w:i w:val="0"/>
          <w:caps w:val="0"/>
          <w:smallCaps w:val="0"/>
          <w:color w:val="000000"/>
          <w:sz w:val="21"/>
          <w:szCs w:val="21"/>
        </w:rPr>
        <w:t>。</w:t>
      </w:r>
      <w:r>
        <w:rPr>
          <w:rFonts w:ascii="宋体" w:hAnsi="宋体" w:eastAsia="宋体" w:cs="宋体"/>
          <w:b w:val="0"/>
          <w:i w:val="0"/>
          <w:caps w:val="0"/>
          <w:smallCaps w:val="0"/>
          <w:sz w:val="21"/>
          <w:szCs w:val="21"/>
        </w:rPr>
        <w:t xml:space="preserve"> </w:t>
      </w:r>
    </w:p>
    <w:tbl>
      <w:tblPr>
        <w:tblStyle w:val="4"/>
        <w:tblW w:w="0" w:type="auto"/>
        <w:tblInd w:w="283" w:type="dxa"/>
        <w:tblLayout w:type="fixed"/>
        <w:tblCellMar>
          <w:top w:w="0" w:type="dxa"/>
          <w:left w:w="0" w:type="dxa"/>
          <w:bottom w:w="0" w:type="dxa"/>
          <w:right w:w="0" w:type="dxa"/>
        </w:tblCellMar>
      </w:tblPr>
      <w:tblGrid>
        <w:gridCol w:w="8312"/>
      </w:tblGrid>
      <w:tr>
        <w:tc>
          <w:tcPr>
            <w:tcW w:w="8312" w:type="dxa"/>
            <w:shd w:val="clear" w:color="auto" w:fill="auto"/>
            <w:noWrap w:val="0"/>
            <w:vAlign w:val="top"/>
          </w:tcPr>
          <w:p>
            <w:pPr>
              <w:pStyle w:val="6"/>
            </w:pPr>
            <w:r>
              <w:rPr>
                <w:b w:val="0"/>
                <w:i w:val="0"/>
                <w:caps w:val="0"/>
                <w:smallCaps w:val="0"/>
                <w:sz w:val="21"/>
              </w:rPr>
              <w:t>A. 对法人做出1万元以上罚款的案件</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对公民做出1000元以上罚款的案件</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对法人做出没收非法所得处罚的案件</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对法人做出停止出口退税权处罚的案件</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5. 允许纳税人从其某种合乎规定的支出中，以一定比率从其应纳税额中扣除以减轻其税负的税收支出形式是（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税收豁免</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纳税扣除</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税收抵免</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延期纳税</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6. 世界上各国弥补财政赤字的通行做法是</w:t>
      </w:r>
      <w:r>
        <w:rPr>
          <w:rFonts w:ascii="宋体" w:hAnsi="宋体" w:eastAsia="宋体" w:cs="宋体"/>
          <w:b w:val="0"/>
          <w:i w:val="0"/>
          <w:caps w:val="0"/>
          <w:smallCaps w:val="0"/>
          <w:color w:val="000000"/>
          <w:sz w:val="21"/>
          <w:szCs w:val="21"/>
        </w:rPr>
        <w:t xml:space="preserve"> </w:t>
      </w:r>
      <w:r>
        <w:rPr>
          <w:rFonts w:ascii="宋体" w:hAnsi="宋体" w:eastAsia="宋体" w:cs="宋体"/>
          <w:b w:val="0"/>
          <w:i w:val="0"/>
          <w:caps w:val="0"/>
          <w:smallCaps w:val="0"/>
          <w:color w:val="000000"/>
          <w:sz w:val="21"/>
          <w:szCs w:val="21"/>
          <w:lang w:val="en-US"/>
        </w:rPr>
        <w:t>( )</w:t>
      </w:r>
      <w:r>
        <w:rPr>
          <w:rFonts w:ascii="宋体" w:hAnsi="宋体" w:eastAsia="宋体" w:cs="宋体"/>
          <w:b w:val="0"/>
          <w:i w:val="0"/>
          <w:caps w:val="0"/>
          <w:smallCaps w:val="0"/>
          <w:color w:val="000000"/>
          <w:sz w:val="21"/>
          <w:szCs w:val="21"/>
        </w:rPr>
        <w:t>。</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动用上年结余</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财政透支</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财政发行</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发行国债</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7. 下列各项中，应计入出口货物完税价格的是</w:t>
      </w:r>
      <w:r>
        <w:rPr>
          <w:rFonts w:ascii="宋体" w:hAnsi="宋体" w:eastAsia="宋体" w:cs="宋体"/>
          <w:b w:val="0"/>
          <w:i w:val="0"/>
          <w:caps w:val="0"/>
          <w:smallCaps w:val="0"/>
          <w:sz w:val="21"/>
          <w:szCs w:val="21"/>
          <w:lang w:val="en-US"/>
        </w:rPr>
        <w:t>( )</w:t>
      </w:r>
      <w:r>
        <w:rPr>
          <w:rFonts w:ascii="宋体" w:hAnsi="宋体" w:eastAsia="宋体" w:cs="宋体"/>
          <w:b w:val="0"/>
          <w:i w:val="0"/>
          <w:caps w:val="0"/>
          <w:smallCaps w:val="0"/>
          <w:sz w:val="21"/>
          <w:szCs w:val="21"/>
        </w:rPr>
        <w:t xml:space="preserve">。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出口关税税额</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单独列明的支付给境外的佣金</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货物在我国境内输出地点装载后的运输费用</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货物运至我国境内输出地点装载前的保险费</w:t>
            </w:r>
            <w:r>
              <w:t xml:space="preserve"> </w:t>
            </w:r>
          </w:p>
        </w:tc>
      </w:tr>
    </w:tbl>
    <w:p>
      <w:pPr>
        <w:pStyle w:val="2"/>
        <w:ind w:left="0" w:right="0" w:firstLine="211"/>
      </w:pPr>
      <w:r>
        <w:rPr>
          <w:rFonts w:ascii="宋体" w:hAnsi="宋体" w:eastAsia="宋体" w:cs="宋体"/>
          <w:b w:val="0"/>
          <w:i w:val="0"/>
          <w:caps w:val="0"/>
          <w:smallCaps w:val="0"/>
          <w:sz w:val="21"/>
          <w:szCs w:val="21"/>
        </w:rPr>
        <w:t>8. 制约财政收入规模的主要因素是（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价格</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经济发展水平</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收入分配制度</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收入分配体制</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9. </w:t>
      </w:r>
      <w:r>
        <w:rPr>
          <w:rFonts w:ascii="宋体" w:hAnsi="宋体" w:eastAsia="宋体" w:cs="宋体"/>
          <w:b w:val="0"/>
          <w:i w:val="0"/>
          <w:caps w:val="0"/>
          <w:smallCaps w:val="0"/>
          <w:sz w:val="21"/>
          <w:szCs w:val="21"/>
          <w:lang w:val="en-US"/>
        </w:rPr>
        <w:t>2010</w:t>
      </w:r>
      <w:r>
        <w:rPr>
          <w:rFonts w:ascii="宋体" w:hAnsi="宋体" w:eastAsia="宋体" w:cs="宋体"/>
          <w:b w:val="0"/>
          <w:i w:val="0"/>
          <w:caps w:val="0"/>
          <w:smallCaps w:val="0"/>
          <w:sz w:val="21"/>
          <w:szCs w:val="21"/>
        </w:rPr>
        <w:t>年</w:t>
      </w:r>
      <w:r>
        <w:rPr>
          <w:rFonts w:ascii="宋体" w:hAnsi="宋体" w:eastAsia="宋体" w:cs="宋体"/>
          <w:b w:val="0"/>
          <w:i w:val="0"/>
          <w:caps w:val="0"/>
          <w:smallCaps w:val="0"/>
          <w:sz w:val="21"/>
          <w:szCs w:val="21"/>
          <w:lang w:val="en-US"/>
        </w:rPr>
        <w:t>8</w:t>
      </w:r>
      <w:r>
        <w:rPr>
          <w:rFonts w:ascii="宋体" w:hAnsi="宋体" w:eastAsia="宋体" w:cs="宋体"/>
          <w:b w:val="0"/>
          <w:i w:val="0"/>
          <w:caps w:val="0"/>
          <w:smallCaps w:val="0"/>
          <w:sz w:val="21"/>
          <w:szCs w:val="21"/>
        </w:rPr>
        <w:t>月某首饰厂从某商贸企业购进一批珠宝玉石，增值税发票注明价款</w:t>
      </w:r>
      <w:r>
        <w:rPr>
          <w:rFonts w:ascii="宋体" w:hAnsi="宋体" w:eastAsia="宋体" w:cs="宋体"/>
          <w:b w:val="0"/>
          <w:i w:val="0"/>
          <w:caps w:val="0"/>
          <w:smallCaps w:val="0"/>
          <w:sz w:val="21"/>
          <w:szCs w:val="21"/>
          <w:lang w:val="en-US"/>
        </w:rPr>
        <w:t>50</w:t>
      </w:r>
      <w:r>
        <w:rPr>
          <w:rFonts w:ascii="宋体" w:hAnsi="宋体" w:eastAsia="宋体" w:cs="宋体"/>
          <w:b w:val="0"/>
          <w:i w:val="0"/>
          <w:caps w:val="0"/>
          <w:smallCaps w:val="0"/>
          <w:sz w:val="21"/>
          <w:szCs w:val="21"/>
        </w:rPr>
        <w:t>万元，增值税税款</w:t>
      </w:r>
      <w:r>
        <w:rPr>
          <w:rFonts w:ascii="宋体" w:hAnsi="宋体" w:eastAsia="宋体" w:cs="宋体"/>
          <w:b w:val="0"/>
          <w:i w:val="0"/>
          <w:caps w:val="0"/>
          <w:smallCaps w:val="0"/>
          <w:sz w:val="21"/>
          <w:szCs w:val="21"/>
          <w:lang w:val="en-US"/>
        </w:rPr>
        <w:t>8.5</w:t>
      </w:r>
      <w:r>
        <w:rPr>
          <w:rFonts w:ascii="宋体" w:hAnsi="宋体" w:eastAsia="宋体" w:cs="宋体"/>
          <w:b w:val="0"/>
          <w:i w:val="0"/>
          <w:caps w:val="0"/>
          <w:smallCaps w:val="0"/>
          <w:sz w:val="21"/>
          <w:szCs w:val="21"/>
        </w:rPr>
        <w:t>万元，打磨后再将其销售给首饰商城，收到不含税价款</w:t>
      </w:r>
      <w:r>
        <w:rPr>
          <w:rFonts w:ascii="宋体" w:hAnsi="宋体" w:eastAsia="宋体" w:cs="宋体"/>
          <w:b w:val="0"/>
          <w:i w:val="0"/>
          <w:caps w:val="0"/>
          <w:smallCaps w:val="0"/>
          <w:sz w:val="21"/>
          <w:szCs w:val="21"/>
          <w:lang w:val="en-US"/>
        </w:rPr>
        <w:t>90</w:t>
      </w:r>
      <w:r>
        <w:rPr>
          <w:rFonts w:ascii="宋体" w:hAnsi="宋体" w:eastAsia="宋体" w:cs="宋体"/>
          <w:b w:val="0"/>
          <w:i w:val="0"/>
          <w:caps w:val="0"/>
          <w:smallCaps w:val="0"/>
          <w:sz w:val="21"/>
          <w:szCs w:val="21"/>
        </w:rPr>
        <w:t>万元。已知珠宝玉石消费税税率为</w:t>
      </w:r>
      <w:r>
        <w:rPr>
          <w:rFonts w:ascii="宋体" w:hAnsi="宋体" w:eastAsia="宋体" w:cs="宋体"/>
          <w:b w:val="0"/>
          <w:i w:val="0"/>
          <w:caps w:val="0"/>
          <w:smallCaps w:val="0"/>
          <w:sz w:val="21"/>
          <w:szCs w:val="21"/>
          <w:lang w:val="en-US"/>
        </w:rPr>
        <w:t>10%</w:t>
      </w:r>
      <w:r>
        <w:rPr>
          <w:rFonts w:ascii="宋体" w:hAnsi="宋体" w:eastAsia="宋体" w:cs="宋体"/>
          <w:b w:val="0"/>
          <w:i w:val="0"/>
          <w:caps w:val="0"/>
          <w:smallCaps w:val="0"/>
          <w:sz w:val="21"/>
          <w:szCs w:val="21"/>
        </w:rPr>
        <w:t xml:space="preserve">，该首饰厂以上业务应缴纳消费税（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4万元</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5万元</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9万元</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14万元</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10. 居民甲</w:t>
      </w:r>
      <w:r>
        <w:rPr>
          <w:rFonts w:ascii="宋体" w:hAnsi="宋体" w:eastAsia="宋体" w:cs="宋体"/>
          <w:b w:val="0"/>
          <w:i w:val="0"/>
          <w:caps w:val="0"/>
          <w:smallCaps w:val="0"/>
          <w:sz w:val="21"/>
          <w:szCs w:val="21"/>
          <w:lang w:val="en-US"/>
        </w:rPr>
        <w:t>2008</w:t>
      </w:r>
      <w:r>
        <w:rPr>
          <w:rFonts w:ascii="宋体" w:hAnsi="宋体" w:eastAsia="宋体" w:cs="宋体"/>
          <w:b w:val="0"/>
          <w:i w:val="0"/>
          <w:caps w:val="0"/>
          <w:smallCaps w:val="0"/>
          <w:sz w:val="21"/>
          <w:szCs w:val="21"/>
        </w:rPr>
        <w:t>年购置了一套价值</w:t>
      </w:r>
      <w:r>
        <w:rPr>
          <w:rFonts w:ascii="宋体" w:hAnsi="宋体" w:eastAsia="宋体" w:cs="宋体"/>
          <w:b w:val="0"/>
          <w:i w:val="0"/>
          <w:caps w:val="0"/>
          <w:smallCaps w:val="0"/>
          <w:sz w:val="21"/>
          <w:szCs w:val="21"/>
          <w:lang w:val="en-US"/>
        </w:rPr>
        <w:t>100</w:t>
      </w:r>
      <w:r>
        <w:rPr>
          <w:rFonts w:ascii="宋体" w:hAnsi="宋体" w:eastAsia="宋体" w:cs="宋体"/>
          <w:b w:val="0"/>
          <w:i w:val="0"/>
          <w:caps w:val="0"/>
          <w:smallCaps w:val="0"/>
          <w:sz w:val="21"/>
          <w:szCs w:val="21"/>
        </w:rPr>
        <w:t>万元的新住房，同时对原有的两套住房处理如下：一套出售给居民乙，成交价格</w:t>
      </w:r>
      <w:r>
        <w:rPr>
          <w:rFonts w:ascii="宋体" w:hAnsi="宋体" w:eastAsia="宋体" w:cs="宋体"/>
          <w:b w:val="0"/>
          <w:i w:val="0"/>
          <w:caps w:val="0"/>
          <w:smallCaps w:val="0"/>
          <w:sz w:val="21"/>
          <w:szCs w:val="21"/>
          <w:lang w:val="en-US"/>
        </w:rPr>
        <w:t>50</w:t>
      </w:r>
      <w:r>
        <w:rPr>
          <w:rFonts w:ascii="宋体" w:hAnsi="宋体" w:eastAsia="宋体" w:cs="宋体"/>
          <w:b w:val="0"/>
          <w:i w:val="0"/>
          <w:caps w:val="0"/>
          <w:smallCaps w:val="0"/>
          <w:sz w:val="21"/>
          <w:szCs w:val="21"/>
        </w:rPr>
        <w:t>万元；另一套市场价格</w:t>
      </w:r>
      <w:r>
        <w:rPr>
          <w:rFonts w:ascii="宋体" w:hAnsi="宋体" w:eastAsia="宋体" w:cs="宋体"/>
          <w:b w:val="0"/>
          <w:i w:val="0"/>
          <w:caps w:val="0"/>
          <w:smallCaps w:val="0"/>
          <w:sz w:val="21"/>
          <w:szCs w:val="21"/>
          <w:lang w:val="en-US"/>
        </w:rPr>
        <w:t>80</w:t>
      </w:r>
      <w:r>
        <w:rPr>
          <w:rFonts w:ascii="宋体" w:hAnsi="宋体" w:eastAsia="宋体" w:cs="宋体"/>
          <w:b w:val="0"/>
          <w:i w:val="0"/>
          <w:caps w:val="0"/>
          <w:smallCaps w:val="0"/>
          <w:sz w:val="21"/>
          <w:szCs w:val="21"/>
        </w:rPr>
        <w:t>万元的住房与居民丙进行等价交换。假定当地省政府规定的契税税率为</w:t>
      </w:r>
      <w:r>
        <w:rPr>
          <w:rFonts w:ascii="宋体" w:hAnsi="宋体" w:eastAsia="宋体" w:cs="宋体"/>
          <w:b w:val="0"/>
          <w:i w:val="0"/>
          <w:caps w:val="0"/>
          <w:smallCaps w:val="0"/>
          <w:sz w:val="21"/>
          <w:szCs w:val="21"/>
          <w:lang w:val="en-US"/>
        </w:rPr>
        <w:t>4%</w:t>
      </w:r>
      <w:r>
        <w:rPr>
          <w:rFonts w:ascii="宋体" w:hAnsi="宋体" w:eastAsia="宋体" w:cs="宋体"/>
          <w:b w:val="0"/>
          <w:i w:val="0"/>
          <w:caps w:val="0"/>
          <w:smallCaps w:val="0"/>
          <w:sz w:val="21"/>
          <w:szCs w:val="21"/>
        </w:rPr>
        <w:t>，则居民甲</w:t>
      </w:r>
      <w:r>
        <w:rPr>
          <w:rFonts w:ascii="宋体" w:hAnsi="宋体" w:eastAsia="宋体" w:cs="宋体"/>
          <w:b w:val="0"/>
          <w:i w:val="0"/>
          <w:caps w:val="0"/>
          <w:smallCaps w:val="0"/>
          <w:sz w:val="21"/>
          <w:szCs w:val="21"/>
          <w:lang w:val="en-US"/>
        </w:rPr>
        <w:t>2008</w:t>
      </w:r>
      <w:r>
        <w:rPr>
          <w:rFonts w:ascii="宋体" w:hAnsi="宋体" w:eastAsia="宋体" w:cs="宋体"/>
          <w:b w:val="0"/>
          <w:i w:val="0"/>
          <w:caps w:val="0"/>
          <w:smallCaps w:val="0"/>
          <w:sz w:val="21"/>
          <w:szCs w:val="21"/>
        </w:rPr>
        <w:t xml:space="preserve">年应缴纳的契税为（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4万元</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6万元</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7.2万元</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9.2万元</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11. 某生产企业属增值税小规模纳税人，</w:t>
      </w:r>
      <w:r>
        <w:rPr>
          <w:rFonts w:ascii="宋体" w:hAnsi="宋体" w:eastAsia="宋体" w:cs="宋体"/>
          <w:b w:val="0"/>
          <w:i w:val="0"/>
          <w:caps w:val="0"/>
          <w:smallCaps w:val="0"/>
          <w:sz w:val="21"/>
          <w:szCs w:val="21"/>
          <w:lang w:val="en-US"/>
        </w:rPr>
        <w:t>2008</w:t>
      </w:r>
      <w:r>
        <w:rPr>
          <w:rFonts w:ascii="宋体" w:hAnsi="宋体" w:eastAsia="宋体" w:cs="宋体"/>
          <w:b w:val="0"/>
          <w:i w:val="0"/>
          <w:caps w:val="0"/>
          <w:smallCaps w:val="0"/>
          <w:sz w:val="21"/>
          <w:szCs w:val="21"/>
        </w:rPr>
        <w:t>年</w:t>
      </w:r>
      <w:r>
        <w:rPr>
          <w:rFonts w:ascii="宋体" w:hAnsi="宋体" w:eastAsia="宋体" w:cs="宋体"/>
          <w:b w:val="0"/>
          <w:i w:val="0"/>
          <w:caps w:val="0"/>
          <w:smallCaps w:val="0"/>
          <w:sz w:val="21"/>
          <w:szCs w:val="21"/>
          <w:lang w:val="en-US"/>
        </w:rPr>
        <w:t>6</w:t>
      </w:r>
      <w:r>
        <w:rPr>
          <w:rFonts w:ascii="宋体" w:hAnsi="宋体" w:eastAsia="宋体" w:cs="宋体"/>
          <w:b w:val="0"/>
          <w:i w:val="0"/>
          <w:caps w:val="0"/>
          <w:smallCaps w:val="0"/>
          <w:sz w:val="21"/>
          <w:szCs w:val="21"/>
        </w:rPr>
        <w:t>月对部分资产盘点后进行处理：销售边角废料，由税务机关代开增值税专用发票，取得不含税收入</w:t>
      </w:r>
      <w:r>
        <w:rPr>
          <w:rFonts w:ascii="宋体" w:hAnsi="宋体" w:eastAsia="宋体" w:cs="宋体"/>
          <w:b w:val="0"/>
          <w:i w:val="0"/>
          <w:caps w:val="0"/>
          <w:smallCaps w:val="0"/>
          <w:sz w:val="21"/>
          <w:szCs w:val="21"/>
          <w:lang w:val="en-US"/>
        </w:rPr>
        <w:t>8</w:t>
      </w:r>
      <w:r>
        <w:rPr>
          <w:rFonts w:ascii="宋体" w:hAnsi="宋体" w:eastAsia="宋体" w:cs="宋体"/>
          <w:b w:val="0"/>
          <w:i w:val="0"/>
          <w:caps w:val="0"/>
          <w:smallCaps w:val="0"/>
          <w:sz w:val="21"/>
          <w:szCs w:val="21"/>
        </w:rPr>
        <w:t>万元；销售使用过的小汽车</w:t>
      </w:r>
      <w:r>
        <w:rPr>
          <w:rFonts w:ascii="宋体" w:hAnsi="宋体" w:eastAsia="宋体" w:cs="宋体"/>
          <w:b w:val="0"/>
          <w:i w:val="0"/>
          <w:caps w:val="0"/>
          <w:smallCaps w:val="0"/>
          <w:sz w:val="21"/>
          <w:szCs w:val="21"/>
          <w:lang w:val="en-US"/>
        </w:rPr>
        <w:t>1</w:t>
      </w:r>
      <w:r>
        <w:rPr>
          <w:rFonts w:ascii="宋体" w:hAnsi="宋体" w:eastAsia="宋体" w:cs="宋体"/>
          <w:b w:val="0"/>
          <w:i w:val="0"/>
          <w:caps w:val="0"/>
          <w:smallCaps w:val="0"/>
          <w:sz w:val="21"/>
          <w:szCs w:val="21"/>
        </w:rPr>
        <w:t>辆，取得含税收入</w:t>
      </w:r>
      <w:r>
        <w:rPr>
          <w:rFonts w:ascii="宋体" w:hAnsi="宋体" w:eastAsia="宋体" w:cs="宋体"/>
          <w:b w:val="0"/>
          <w:i w:val="0"/>
          <w:caps w:val="0"/>
          <w:smallCaps w:val="0"/>
          <w:sz w:val="21"/>
          <w:szCs w:val="21"/>
          <w:lang w:val="en-US"/>
        </w:rPr>
        <w:t>5.2</w:t>
      </w:r>
      <w:r>
        <w:rPr>
          <w:rFonts w:ascii="宋体" w:hAnsi="宋体" w:eastAsia="宋体" w:cs="宋体"/>
          <w:b w:val="0"/>
          <w:i w:val="0"/>
          <w:caps w:val="0"/>
          <w:smallCaps w:val="0"/>
          <w:sz w:val="21"/>
          <w:szCs w:val="21"/>
        </w:rPr>
        <w:t>万元（原值为</w:t>
      </w:r>
      <w:r>
        <w:rPr>
          <w:rFonts w:ascii="宋体" w:hAnsi="宋体" w:eastAsia="宋体" w:cs="宋体"/>
          <w:b w:val="0"/>
          <w:i w:val="0"/>
          <w:caps w:val="0"/>
          <w:smallCaps w:val="0"/>
          <w:sz w:val="21"/>
          <w:szCs w:val="21"/>
          <w:lang w:val="en-US"/>
        </w:rPr>
        <w:t>4</w:t>
      </w:r>
      <w:r>
        <w:rPr>
          <w:rFonts w:ascii="宋体" w:hAnsi="宋体" w:eastAsia="宋体" w:cs="宋体"/>
          <w:b w:val="0"/>
          <w:i w:val="0"/>
          <w:caps w:val="0"/>
          <w:smallCaps w:val="0"/>
          <w:sz w:val="21"/>
          <w:szCs w:val="21"/>
        </w:rPr>
        <w:t xml:space="preserve">万元）。该企业上述业务应缴纳增值税（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0.42万元</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0.48万元</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0.54万元</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0.58万元</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12. 下列各项中，应同时征收增值税和消费税的是（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批发环节销售的卷烟</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零售环节销售的金基合金首饰</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生产环节销售的普通护肤护发品</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进口环节取得外国政府捐赠的小汽车</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13. 依照税法规定，将征税对象中免于征税的部分称之为（ ）</w:t>
      </w:r>
      <w:r>
        <w:rPr>
          <w:rFonts w:ascii="宋体" w:hAnsi="宋体" w:eastAsia="宋体" w:cs="宋体"/>
          <w:b w:val="0"/>
          <w:i w:val="0"/>
          <w:caps w:val="0"/>
          <w:smallCaps w:val="0"/>
          <w:color w:val="000000"/>
          <w:sz w:val="21"/>
          <w:szCs w:val="21"/>
        </w:rPr>
        <w:t>。</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起征点</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免税额</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减免税</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免征额</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14. 财政政策最基本的目标是（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充分就业</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物价相对稳定</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收入合理分配</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经济适度增长</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15. 下列各项中，应作为融资租赁房屋房产税计税依据是（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房产售价</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房产余值</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房产原值</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房产租金</w:t>
            </w:r>
            <w:r>
              <w:t xml:space="preserve"> </w:t>
            </w:r>
          </w:p>
        </w:tc>
      </w:tr>
    </w:tbl>
    <w:p>
      <w:pPr>
        <w:pStyle w:val="2"/>
        <w:ind w:left="0" w:right="0" w:firstLine="211"/>
        <w:rPr>
          <w:rFonts w:ascii="宋体" w:hAnsi="宋体" w:eastAsia="宋体"/>
          <w:b/>
          <w:sz w:val="24"/>
        </w:rPr>
      </w:pPr>
    </w:p>
    <w:p>
      <w:pPr>
        <w:pStyle w:val="2"/>
        <w:ind w:left="0" w:right="0" w:firstLine="211"/>
        <w:rPr>
          <w:rFonts w:ascii="宋体" w:hAnsi="宋体" w:eastAsia="宋体" w:cs="宋体"/>
          <w:b/>
          <w:sz w:val="24"/>
          <w:szCs w:val="21"/>
        </w:rPr>
      </w:pPr>
      <w:r>
        <w:rPr>
          <w:rFonts w:ascii="宋体" w:hAnsi="宋体" w:eastAsia="宋体" w:cs="宋体"/>
          <w:b/>
          <w:sz w:val="24"/>
          <w:szCs w:val="21"/>
        </w:rPr>
        <w:t xml:space="preserve">二 多选题 </w:t>
      </w:r>
    </w:p>
    <w:p>
      <w:pPr>
        <w:pStyle w:val="2"/>
        <w:ind w:left="0" w:right="0" w:firstLine="211"/>
        <w:rPr>
          <w:b w:val="0"/>
          <w:i w:val="0"/>
          <w:caps w:val="0"/>
          <w:smallCaps w:val="0"/>
          <w:sz w:val="21"/>
        </w:rPr>
      </w:pPr>
      <w:r>
        <w:rPr>
          <w:rFonts w:ascii="宋体" w:hAnsi="宋体" w:eastAsia="宋体" w:cs="宋体"/>
          <w:b w:val="0"/>
          <w:i w:val="0"/>
          <w:caps w:val="0"/>
          <w:smallCaps w:val="0"/>
          <w:sz w:val="21"/>
          <w:szCs w:val="21"/>
        </w:rPr>
        <w:t>1. 下列项目中，不属于免征土地增值税的有（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企业兼并转让房地产</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从直系亲属处继承房地产</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个人之间互换自有居住用房地产</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合作建房后按比例分房自用</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2. 财政政策的目标主要有（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物价相对稳定</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收入的合理分配</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经济适度增长</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社会生活质量提高</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3. 下列产业中，应由财政进行投资的有（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环境治理</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治理国土</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能源开发</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教育</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4. 下列各项中，可以免征营业税的有（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金融企业从事受托收款业务取得手续费收入</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电脑福利彩票投注点代销福利彩票取得手续费收入</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QFⅡ委托境内公司在我国从事证券买卖业务取得差价收入</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将土地使用权转让给农业生产者用于农业生产取得的转让收入</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5. 下列有关关税处理的表述中，正确的有（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对留购的租赁货物，以海关审定的留购价格作为关税完整价格</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对以租金方式对外支付的租赁货物，在租赁期间以海关审定的租金作为关税完税价格</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对留购的进口展览品，以一般进口货物估价办法的规定固定关税完税价格</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以租赁方式进口货物，承租人申请一次性缴纳税款的，经海关同意，按照一般进口货物估价办法的规定固定关税价格</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6. 我国中央银行的货币政策手段主要有（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存款准备金制度</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利率</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公开市场操作</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再贷款</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7. 公共物品的基本特征包括（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历史性</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非排他性</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非竞争性</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单一性</w:t>
            </w:r>
            <w:r>
              <w:t xml:space="preserve"> </w:t>
            </w:r>
          </w:p>
        </w:tc>
      </w:tr>
    </w:tbl>
    <w:p>
      <w:pPr>
        <w:pStyle w:val="2"/>
        <w:ind w:left="0" w:right="0" w:firstLine="211"/>
        <w:rPr>
          <w:rFonts w:ascii="宋体" w:hAnsi="宋体" w:eastAsia="宋体"/>
          <w:b/>
          <w:sz w:val="24"/>
        </w:rPr>
      </w:pPr>
    </w:p>
    <w:p>
      <w:pPr>
        <w:pStyle w:val="2"/>
        <w:ind w:left="0" w:right="0" w:firstLine="211"/>
        <w:rPr>
          <w:rFonts w:ascii="宋体" w:hAnsi="宋体" w:eastAsia="宋体" w:cs="宋体"/>
          <w:b/>
          <w:sz w:val="24"/>
          <w:szCs w:val="21"/>
        </w:rPr>
      </w:pPr>
      <w:r>
        <w:rPr>
          <w:rFonts w:ascii="宋体" w:hAnsi="宋体" w:eastAsia="宋体" w:cs="宋体"/>
          <w:b/>
          <w:sz w:val="24"/>
          <w:szCs w:val="21"/>
        </w:rPr>
        <w:t xml:space="preserve">三 判断题 </w:t>
      </w:r>
    </w:p>
    <w:p>
      <w:pPr>
        <w:pStyle w:val="2"/>
        <w:ind w:left="0" w:right="0" w:firstLine="211"/>
        <w:rPr>
          <w:rFonts w:ascii="宋体" w:hAnsi="宋体" w:eastAsia="宋体" w:cs="宋体"/>
          <w:b w:val="0"/>
          <w:sz w:val="21"/>
          <w:szCs w:val="21"/>
        </w:rPr>
      </w:pPr>
      <w:r>
        <w:rPr>
          <w:rFonts w:hint="eastAsia" w:ascii="宋体" w:hAnsi="宋体" w:eastAsia="宋体" w:cs="宋体"/>
          <w:b w:val="0"/>
          <w:sz w:val="21"/>
          <w:szCs w:val="21"/>
          <w:lang w:val="en-US" w:eastAsia="zh-CN"/>
        </w:rPr>
        <w:t>1</w:t>
      </w:r>
      <w:r>
        <w:rPr>
          <w:rFonts w:ascii="宋体" w:hAnsi="宋体" w:eastAsia="宋体" w:cs="宋体"/>
          <w:b w:val="0"/>
          <w:sz w:val="21"/>
          <w:szCs w:val="21"/>
        </w:rPr>
        <w:t>. 纯公共物品只能由政府提供。 （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2. 减税政策是一种扩张性财政政策，在经济繁荣期使用，更有锦上添花的效果。 （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3. 公债的有偿性决定了公债的自愿性；公债的自愿性和有偿性，又决定和要求发行上的灵活性。 （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4. 根据马斯格雷夫和罗斯托的经济发展阶段论，经济达到成熟阶段后，财政支出增长应当放缓</w:t>
      </w:r>
      <w:r>
        <w:rPr>
          <w:rFonts w:ascii="宋体" w:hAnsi="宋体" w:eastAsia="宋体" w:cs="宋体"/>
          <w:b w:val="0"/>
          <w:sz w:val="21"/>
          <w:szCs w:val="21"/>
          <w:lang w:val="en-US"/>
        </w:rPr>
        <w:t>,</w:t>
      </w:r>
      <w:r>
        <w:rPr>
          <w:rFonts w:ascii="宋体" w:hAnsi="宋体" w:eastAsia="宋体" w:cs="宋体"/>
          <w:b w:val="0"/>
          <w:sz w:val="21"/>
          <w:szCs w:val="21"/>
        </w:rPr>
        <w:t>并逐渐慢于</w:t>
      </w:r>
      <w:r>
        <w:rPr>
          <w:rFonts w:ascii="宋体" w:hAnsi="宋体" w:eastAsia="宋体" w:cs="宋体"/>
          <w:b w:val="0"/>
          <w:sz w:val="21"/>
          <w:szCs w:val="21"/>
          <w:lang w:val="en-US"/>
        </w:rPr>
        <w:t>GDP</w:t>
      </w:r>
      <w:r>
        <w:rPr>
          <w:rFonts w:ascii="宋体" w:hAnsi="宋体" w:eastAsia="宋体" w:cs="宋体"/>
          <w:b w:val="0"/>
          <w:sz w:val="21"/>
          <w:szCs w:val="21"/>
        </w:rPr>
        <w:t>的增长。 （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5. 为保证公开性、透明性，政府采购需完全采用招标性采购。 （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6. 改革开放后，我国财政收入的发展变化趋势和财政支出一样，都经历了下一个先降后升的过程。 （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7. 税负转嫁的前转方式是指向生产的前一环节转嫁，即通过压低进价等方式转嫁给上游厂家。（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8. 如果一项收入可以采取税收形式也可以采取收费形式，一般应采用税收形式。 （  ）</w:t>
      </w:r>
    </w:p>
    <w:p>
      <w:pPr>
        <w:pStyle w:val="2"/>
        <w:ind w:left="0" w:right="0" w:firstLine="211"/>
        <w:rPr>
          <w:rFonts w:ascii="宋体" w:hAnsi="宋体" w:eastAsia="宋体"/>
          <w:b/>
          <w:sz w:val="24"/>
        </w:rPr>
      </w:pPr>
    </w:p>
    <w:p>
      <w:pPr>
        <w:pStyle w:val="2"/>
        <w:ind w:left="0" w:right="0" w:firstLine="211"/>
        <w:rPr>
          <w:rFonts w:ascii="宋体" w:hAnsi="宋体" w:eastAsia="宋体" w:cs="宋体"/>
          <w:b/>
          <w:sz w:val="24"/>
          <w:szCs w:val="21"/>
        </w:rPr>
      </w:pPr>
      <w:r>
        <w:rPr>
          <w:rFonts w:ascii="宋体" w:hAnsi="宋体" w:eastAsia="宋体" w:cs="宋体"/>
          <w:b/>
          <w:sz w:val="24"/>
          <w:szCs w:val="21"/>
        </w:rPr>
        <w:t xml:space="preserve">四 问答题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1. 简述汲水政策与补偿政策的关系。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2. 简述市场失灵和市场缺陷的主要表现。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3. 结合我国实际，论述影响我国财政收入规模增长的因素。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4. 简要分析公共物品的提供方式。 </w:t>
      </w:r>
    </w:p>
    <w:p>
      <w:pPr>
        <w:pStyle w:val="2"/>
        <w:ind w:left="0" w:right="0" w:firstLine="211"/>
        <w:rPr>
          <w:rFonts w:ascii="宋体" w:hAnsi="宋体" w:eastAsia="宋体"/>
          <w:b/>
          <w:sz w:val="24"/>
        </w:rPr>
      </w:pPr>
    </w:p>
    <w:p>
      <w:pPr>
        <w:pStyle w:val="2"/>
        <w:ind w:left="0" w:right="0" w:firstLine="211"/>
        <w:rPr>
          <w:rFonts w:ascii="宋体" w:hAnsi="宋体" w:eastAsia="宋体"/>
          <w:b/>
          <w:sz w:val="24"/>
        </w:rPr>
      </w:pPr>
      <w:r>
        <w:rPr>
          <w:rFonts w:ascii="宋体" w:hAnsi="宋体" w:eastAsia="宋体" w:cs="宋体"/>
          <w:b w:val="0"/>
          <w:sz w:val="21"/>
          <w:szCs w:val="21"/>
        </w:rPr>
        <w:br w:type="textWrapping"/>
      </w:r>
      <w:r>
        <w:rPr>
          <w:rFonts w:hint="eastAsia" w:ascii="宋体" w:hAnsi="宋体" w:eastAsia="宋体" w:cs="宋体"/>
          <w:b w:val="0"/>
          <w:sz w:val="30"/>
          <w:szCs w:val="30"/>
          <w:lang w:val="en-US" w:eastAsia="zh-CN"/>
        </w:rPr>
        <w:t>税收实务复习资料答案</w:t>
      </w:r>
    </w:p>
    <w:p>
      <w:pPr>
        <w:pStyle w:val="2"/>
        <w:ind w:left="0" w:right="0" w:firstLine="211"/>
        <w:rPr>
          <w:rFonts w:ascii="宋体" w:hAnsi="宋体" w:eastAsia="宋体" w:cs="宋体"/>
          <w:b/>
          <w:sz w:val="24"/>
          <w:szCs w:val="21"/>
        </w:rPr>
      </w:pPr>
      <w:r>
        <w:rPr>
          <w:rFonts w:ascii="宋体" w:hAnsi="宋体" w:eastAsia="宋体" w:cs="宋体"/>
          <w:b/>
          <w:sz w:val="24"/>
          <w:szCs w:val="21"/>
        </w:rPr>
        <w:t xml:space="preserve">一 单选题 </w:t>
      </w:r>
    </w:p>
    <w:p>
      <w:pPr>
        <w:pStyle w:val="2"/>
        <w:ind w:left="0" w:right="0" w:firstLine="211"/>
      </w:pPr>
      <w:r>
        <w:rPr>
          <w:rFonts w:ascii="宋体" w:hAnsi="宋体" w:eastAsia="宋体" w:cs="宋体"/>
          <w:b w:val="0"/>
          <w:sz w:val="21"/>
          <w:szCs w:val="21"/>
        </w:rPr>
        <w:t>1. 答案：A</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2. 答案：C</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3. 答案：B</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4. 答案：A</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5. 答案：C</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6. 答案：D</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7. 答案：D</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8. 答案：B</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9. 答案：C</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10. 答案：A</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11. 答案：D</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12. 答案：B</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13. 答案：D</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14. 答案：B</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15. 答案：B</w:t>
      </w:r>
    </w:p>
    <w:p>
      <w:pPr>
        <w:pStyle w:val="2"/>
        <w:rPr>
          <w:rFonts w:ascii="宋体" w:hAnsi="宋体" w:eastAsia="宋体" w:cs="宋体"/>
          <w:b w:val="0"/>
          <w:sz w:val="21"/>
          <w:szCs w:val="21"/>
        </w:rPr>
      </w:pPr>
      <w:r>
        <w:t xml:space="preserve">解析过程： </w:t>
      </w:r>
    </w:p>
    <w:p>
      <w:pPr>
        <w:pStyle w:val="2"/>
        <w:ind w:left="0" w:right="0" w:firstLine="211"/>
        <w:rPr>
          <w:rFonts w:ascii="宋体" w:hAnsi="宋体" w:eastAsia="宋体"/>
          <w:b/>
          <w:sz w:val="24"/>
        </w:rPr>
      </w:pPr>
    </w:p>
    <w:p>
      <w:pPr>
        <w:pStyle w:val="2"/>
        <w:ind w:left="0" w:right="0" w:firstLine="211"/>
        <w:rPr>
          <w:rFonts w:ascii="宋体" w:hAnsi="宋体" w:eastAsia="宋体" w:cs="宋体"/>
          <w:b w:val="0"/>
          <w:sz w:val="21"/>
          <w:szCs w:val="21"/>
        </w:rPr>
      </w:pPr>
      <w:r>
        <w:rPr>
          <w:rFonts w:ascii="宋体" w:hAnsi="宋体" w:eastAsia="宋体" w:cs="宋体"/>
          <w:b/>
          <w:sz w:val="24"/>
          <w:szCs w:val="21"/>
        </w:rPr>
        <w:t xml:space="preserve">二 多选题 </w:t>
      </w:r>
    </w:p>
    <w:p>
      <w:pPr>
        <w:pStyle w:val="2"/>
        <w:ind w:left="0" w:right="0" w:firstLine="211"/>
      </w:pPr>
      <w:r>
        <w:rPr>
          <w:rFonts w:ascii="宋体" w:hAnsi="宋体" w:eastAsia="宋体" w:cs="宋体"/>
          <w:b w:val="0"/>
          <w:sz w:val="21"/>
          <w:szCs w:val="21"/>
        </w:rPr>
        <w:t>1. 答案：A,C,D</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2. 答案：A,B,C,D</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3. 答案：A,B,C,D</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4. 答案：C,D</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5. 答案：A,B,D</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6. 答案：A,B,C,D</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7. 答案：B,C</w:t>
      </w:r>
    </w:p>
    <w:p>
      <w:pPr>
        <w:pStyle w:val="2"/>
        <w:rPr>
          <w:rFonts w:ascii="宋体" w:hAnsi="宋体" w:eastAsia="宋体" w:cs="宋体"/>
          <w:b w:val="0"/>
          <w:sz w:val="21"/>
          <w:szCs w:val="21"/>
        </w:rPr>
      </w:pPr>
      <w:r>
        <w:t xml:space="preserve">解析过程： </w:t>
      </w:r>
    </w:p>
    <w:p>
      <w:pPr>
        <w:pStyle w:val="2"/>
        <w:ind w:left="0" w:right="0" w:firstLine="211"/>
        <w:rPr>
          <w:rFonts w:ascii="宋体" w:hAnsi="宋体" w:eastAsia="宋体"/>
          <w:b/>
          <w:sz w:val="24"/>
        </w:rPr>
      </w:pPr>
    </w:p>
    <w:p>
      <w:pPr>
        <w:pStyle w:val="2"/>
        <w:ind w:left="0" w:right="0" w:firstLine="211"/>
        <w:rPr>
          <w:rFonts w:ascii="宋体" w:hAnsi="宋体" w:eastAsia="宋体" w:cs="宋体"/>
          <w:b w:val="0"/>
          <w:sz w:val="21"/>
          <w:szCs w:val="21"/>
        </w:rPr>
      </w:pPr>
      <w:r>
        <w:rPr>
          <w:rFonts w:ascii="宋体" w:hAnsi="宋体" w:eastAsia="宋体" w:cs="宋体"/>
          <w:b/>
          <w:sz w:val="24"/>
          <w:szCs w:val="21"/>
        </w:rPr>
        <w:t xml:space="preserve">三 判断题 </w:t>
      </w:r>
    </w:p>
    <w:p>
      <w:pPr>
        <w:pStyle w:val="2"/>
        <w:ind w:left="0" w:right="0" w:firstLine="211"/>
      </w:pPr>
      <w:r>
        <w:rPr>
          <w:rFonts w:ascii="宋体" w:hAnsi="宋体" w:eastAsia="宋体" w:cs="宋体"/>
          <w:b w:val="0"/>
          <w:sz w:val="21"/>
          <w:szCs w:val="21"/>
        </w:rPr>
        <w:t>1. 答案：对</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2. 答案：错</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3. 答案：对</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4. 答案：错</w:t>
      </w:r>
    </w:p>
    <w:p>
      <w:pPr>
        <w:pStyle w:val="2"/>
        <w:rPr>
          <w:rFonts w:ascii="宋体" w:hAnsi="宋体" w:eastAsia="宋体" w:cs="宋体"/>
          <w:b w:val="0"/>
          <w:sz w:val="21"/>
          <w:szCs w:val="21"/>
        </w:rPr>
      </w:pPr>
      <w:r>
        <w:t xml:space="preserve">解析过程： </w:t>
      </w:r>
    </w:p>
    <w:p>
      <w:pPr>
        <w:pStyle w:val="2"/>
        <w:ind w:right="0"/>
      </w:pPr>
      <w:r>
        <w:rPr>
          <w:rFonts w:ascii="宋体" w:hAnsi="宋体" w:eastAsia="宋体" w:cs="宋体"/>
          <w:b w:val="0"/>
          <w:sz w:val="21"/>
          <w:szCs w:val="21"/>
        </w:rPr>
        <w:t>5. 答案：错</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6. 答案：对</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7. 答案：错</w:t>
      </w:r>
    </w:p>
    <w:p>
      <w:pPr>
        <w:pStyle w:val="2"/>
        <w:rPr>
          <w:rFonts w:ascii="宋体" w:hAnsi="宋体" w:eastAsia="宋体" w:cs="宋体"/>
          <w:b w:val="0"/>
          <w:sz w:val="21"/>
          <w:szCs w:val="21"/>
        </w:rPr>
      </w:pPr>
      <w:r>
        <w:t xml:space="preserve">解析过程： </w:t>
      </w:r>
    </w:p>
    <w:p>
      <w:pPr>
        <w:pStyle w:val="2"/>
        <w:ind w:left="0" w:right="0" w:firstLine="211"/>
      </w:pPr>
      <w:r>
        <w:rPr>
          <w:rFonts w:ascii="宋体" w:hAnsi="宋体" w:eastAsia="宋体" w:cs="宋体"/>
          <w:b w:val="0"/>
          <w:sz w:val="21"/>
          <w:szCs w:val="21"/>
        </w:rPr>
        <w:t>8. 答案：错</w:t>
      </w:r>
    </w:p>
    <w:p>
      <w:pPr>
        <w:pStyle w:val="2"/>
        <w:rPr>
          <w:rFonts w:ascii="宋体" w:hAnsi="宋体" w:eastAsia="宋体" w:cs="宋体"/>
          <w:b w:val="0"/>
          <w:sz w:val="21"/>
          <w:szCs w:val="21"/>
        </w:rPr>
      </w:pPr>
      <w:r>
        <w:t xml:space="preserve">解析过程： </w:t>
      </w:r>
    </w:p>
    <w:p>
      <w:pPr>
        <w:pStyle w:val="2"/>
        <w:ind w:left="0" w:right="0" w:firstLine="211"/>
        <w:rPr>
          <w:rFonts w:ascii="宋体" w:hAnsi="宋体" w:eastAsia="宋体"/>
          <w:b/>
          <w:sz w:val="24"/>
        </w:rPr>
      </w:pPr>
    </w:p>
    <w:p>
      <w:pPr>
        <w:pStyle w:val="2"/>
        <w:ind w:left="0" w:right="0" w:firstLine="211"/>
        <w:rPr>
          <w:rFonts w:ascii="宋体" w:hAnsi="宋体" w:eastAsia="宋体" w:cs="宋体"/>
          <w:b w:val="0"/>
          <w:sz w:val="21"/>
          <w:szCs w:val="21"/>
        </w:rPr>
      </w:pPr>
      <w:r>
        <w:rPr>
          <w:rFonts w:ascii="宋体" w:hAnsi="宋体" w:eastAsia="宋体" w:cs="宋体"/>
          <w:b/>
          <w:sz w:val="24"/>
          <w:szCs w:val="21"/>
        </w:rPr>
        <w:t xml:space="preserve">四 问答题 </w:t>
      </w:r>
    </w:p>
    <w:p>
      <w:pPr>
        <w:pStyle w:val="2"/>
        <w:ind w:left="0" w:right="0" w:firstLine="211"/>
        <w:rPr>
          <w:sz w:val="21"/>
        </w:rPr>
      </w:pPr>
      <w:r>
        <w:rPr>
          <w:rFonts w:ascii="宋体" w:hAnsi="宋体" w:eastAsia="宋体" w:cs="宋体"/>
          <w:b w:val="0"/>
          <w:sz w:val="21"/>
          <w:szCs w:val="21"/>
        </w:rPr>
        <w:t>1. 答案：答：汲水政策与补偿政策既有联系又有区别，主要表现在：</w:t>
      </w:r>
    </w:p>
    <w:p>
      <w:pPr>
        <w:pStyle w:val="2"/>
        <w:rPr>
          <w:sz w:val="21"/>
        </w:rPr>
      </w:pPr>
      <w:r>
        <w:rPr>
          <w:sz w:val="21"/>
        </w:rPr>
        <w:t>（</w:t>
      </w:r>
      <w:r>
        <w:rPr>
          <w:sz w:val="21"/>
          <w:lang w:val="en-US"/>
        </w:rPr>
        <w:t>1</w:t>
      </w:r>
      <w:r>
        <w:rPr>
          <w:sz w:val="21"/>
        </w:rPr>
        <w:t>）联系：两者在性质上都属于相机抉择的财政政策，都是政府有意识的干预政策。</w:t>
      </w:r>
    </w:p>
    <w:p>
      <w:pPr>
        <w:pStyle w:val="2"/>
      </w:pPr>
      <w:r>
        <w:rPr>
          <w:sz w:val="21"/>
        </w:rPr>
        <w:t>（</w:t>
      </w:r>
      <w:r>
        <w:rPr>
          <w:sz w:val="21"/>
          <w:lang w:val="en-US"/>
        </w:rPr>
        <w:t>2</w:t>
      </w:r>
      <w:r>
        <w:rPr>
          <w:sz w:val="21"/>
        </w:rPr>
        <w:t>）区别：①汲水政策只是借助公共投资以补偿民间投资的减退，是医治萧条的处方；而补偿政策是一种全面的干预政策，它不仅在使经济从萧条走向繁荣中得到应用，而且还可用于控制经济过度繁荣。②汲水政策的实现工具只有公共投资，而补偿政策的载体不仅包括公共投资，还有税收、转移支付、财政补偿等。③汲水政策的公共投资不能是超额的，而补偿政策的收支可以超额增长。汲水政策的调节对象是民间投资，而补偿政策的调节对象是社会经济的有效需求。</w:t>
      </w:r>
    </w:p>
    <w:p>
      <w:pPr>
        <w:pStyle w:val="2"/>
        <w:ind w:left="0" w:right="0" w:firstLine="211"/>
      </w:pPr>
      <w:r>
        <w:rPr>
          <w:rFonts w:ascii="宋体" w:hAnsi="宋体" w:eastAsia="宋体" w:cs="宋体"/>
          <w:b w:val="0"/>
          <w:sz w:val="21"/>
          <w:szCs w:val="21"/>
        </w:rPr>
        <w:t>2. 答案：答：（</w:t>
      </w:r>
      <w:r>
        <w:rPr>
          <w:rFonts w:ascii="宋体" w:hAnsi="宋体" w:eastAsia="宋体" w:cs="宋体"/>
          <w:b w:val="0"/>
          <w:sz w:val="21"/>
          <w:szCs w:val="21"/>
          <w:lang w:val="en-US"/>
        </w:rPr>
        <w:t>1</w:t>
      </w:r>
      <w:r>
        <w:rPr>
          <w:rFonts w:ascii="宋体" w:hAnsi="宋体" w:eastAsia="宋体" w:cs="宋体"/>
          <w:b w:val="0"/>
          <w:sz w:val="21"/>
          <w:szCs w:val="21"/>
        </w:rPr>
        <w:t>）市场失灵，其主要表现有以下几个方面：</w:t>
      </w:r>
    </w:p>
    <w:p>
      <w:pPr>
        <w:pStyle w:val="2"/>
        <w:rPr>
          <w:sz w:val="21"/>
        </w:rPr>
      </w:pPr>
      <w:r>
        <w:t>①</w:t>
      </w:r>
      <w:r>
        <w:rPr>
          <w:sz w:val="21"/>
        </w:rPr>
        <w:t>自然垄断；②外部效应；③公共物品；④信息不充分。</w:t>
      </w:r>
    </w:p>
    <w:p>
      <w:pPr>
        <w:pStyle w:val="2"/>
      </w:pPr>
      <w:r>
        <w:rPr>
          <w:sz w:val="21"/>
        </w:rPr>
        <w:t>（</w:t>
      </w:r>
      <w:r>
        <w:rPr>
          <w:sz w:val="21"/>
          <w:lang w:val="en-US"/>
        </w:rPr>
        <w:t>2</w:t>
      </w:r>
      <w:r>
        <w:rPr>
          <w:sz w:val="21"/>
        </w:rPr>
        <w:t>）市场缺陷主要表现有：①收入分配不公；②经济波动。</w:t>
      </w:r>
    </w:p>
    <w:p>
      <w:pPr>
        <w:pStyle w:val="2"/>
        <w:rPr>
          <w:rFonts w:ascii="宋体" w:hAnsi="宋体" w:eastAsia="宋体" w:cs="宋体"/>
          <w:b w:val="0"/>
          <w:sz w:val="21"/>
          <w:szCs w:val="21"/>
        </w:rPr>
      </w:pPr>
      <w:r>
        <w:t xml:space="preserve"> </w:t>
      </w:r>
    </w:p>
    <w:p>
      <w:pPr>
        <w:pStyle w:val="2"/>
        <w:ind w:left="0" w:right="0" w:firstLine="211"/>
        <w:rPr>
          <w:sz w:val="21"/>
        </w:rPr>
      </w:pPr>
      <w:r>
        <w:rPr>
          <w:rFonts w:ascii="宋体" w:hAnsi="宋体" w:eastAsia="宋体" w:cs="宋体"/>
          <w:b w:val="0"/>
          <w:sz w:val="21"/>
          <w:szCs w:val="21"/>
        </w:rPr>
        <w:t>3. 答案：答：财政收入规模是衡量一国财力和政府在社会经济生活中职能范围的重要指标，世界各国都将财政收入的增长作为主要的财政目标。但财政收入的增长并不是以政府的意愿为转移的，它受到各种因素制约，主要有经济发展水平、生产技术水平、收入分配政策、价格水平、政治与社会等方面的影响。</w:t>
      </w:r>
    </w:p>
    <w:p>
      <w:pPr>
        <w:pStyle w:val="2"/>
        <w:rPr>
          <w:sz w:val="21"/>
        </w:rPr>
      </w:pPr>
      <w:r>
        <w:rPr>
          <w:sz w:val="21"/>
        </w:rPr>
        <w:t>（一）经济发展水平对财政收入规模的影响</w:t>
      </w:r>
    </w:p>
    <w:p>
      <w:pPr>
        <w:pStyle w:val="2"/>
        <w:ind w:left="0" w:right="0" w:firstLine="420"/>
        <w:rPr>
          <w:sz w:val="21"/>
        </w:rPr>
      </w:pPr>
      <w:r>
        <w:rPr>
          <w:sz w:val="21"/>
        </w:rPr>
        <w:t>经济发展水平反映了一个国家的社会产品的丰富程度和经济效益的高低。经济发展水平越高、社会产品越丰富，国内生产总值或国民收入越多，则该国的财政收入总额越高，占国民收入的比重也会更高。经济发展水平对财政收入规模，起着基础性的约束作用。</w:t>
      </w:r>
    </w:p>
    <w:p>
      <w:pPr>
        <w:pStyle w:val="2"/>
        <w:rPr>
          <w:sz w:val="21"/>
        </w:rPr>
      </w:pPr>
      <w:r>
        <w:rPr>
          <w:sz w:val="21"/>
        </w:rPr>
        <w:t>（二）生产技术水平对财政收入规模的影响</w:t>
      </w:r>
    </w:p>
    <w:p>
      <w:pPr>
        <w:pStyle w:val="2"/>
        <w:ind w:left="0" w:right="0" w:firstLine="420"/>
        <w:rPr>
          <w:sz w:val="21"/>
        </w:rPr>
      </w:pPr>
      <w:r>
        <w:rPr>
          <w:sz w:val="21"/>
        </w:rPr>
        <w:t>生产技术水平对财政收入规模的影响主要表现在：一是技术进步往往以生产速度加快、生产质量提高为结果，技术进步速度越快，社会产品和国民收入的增加也就越快，财政收入规模的增长也就有充分的财源；二是技术进步必然带来物耗比例降低、经济效益提高，剩余产品价值所占比重扩大，因此可供财政分配的产品也就越多。可以说，技术进步对财政收入规模的影响更为直接和明显。</w:t>
      </w:r>
    </w:p>
    <w:p>
      <w:pPr>
        <w:pStyle w:val="2"/>
        <w:rPr>
          <w:sz w:val="21"/>
        </w:rPr>
      </w:pPr>
      <w:r>
        <w:rPr>
          <w:sz w:val="21"/>
        </w:rPr>
        <w:t>（三）收入分配政策对财政收入规模的影响</w:t>
      </w:r>
    </w:p>
    <w:p>
      <w:pPr>
        <w:pStyle w:val="2"/>
        <w:ind w:left="0" w:right="0" w:firstLine="420"/>
        <w:rPr>
          <w:sz w:val="21"/>
        </w:rPr>
      </w:pPr>
      <w:r>
        <w:rPr>
          <w:sz w:val="21"/>
        </w:rPr>
        <w:t>从收入分配政策的表现形式上看，对财政收入规模的作用有以下两个方面：</w:t>
      </w:r>
    </w:p>
    <w:p>
      <w:pPr>
        <w:pStyle w:val="2"/>
        <w:ind w:left="0" w:right="0" w:firstLine="420"/>
        <w:rPr>
          <w:sz w:val="21"/>
        </w:rPr>
      </w:pPr>
      <w:r>
        <w:rPr>
          <w:sz w:val="21"/>
        </w:rPr>
        <w:t>第一，收入分配政策能够影响剩余产品在国内生产总值或国民收入总量中所占的份额，进而决定财政分配对象的大小。实际上各国政府的财政来源，占国民收入或国民生产总值的比重会越来越大。</w:t>
      </w:r>
    </w:p>
    <w:p>
      <w:pPr>
        <w:pStyle w:val="2"/>
        <w:ind w:left="0" w:right="0" w:firstLine="420"/>
        <w:rPr>
          <w:sz w:val="21"/>
        </w:rPr>
      </w:pPr>
      <w:r>
        <w:rPr>
          <w:sz w:val="21"/>
        </w:rPr>
        <w:t xml:space="preserve">第二，收入分配政策决定财政收入占剩余产品的份额，从而决定财政收入规模的大小。一般来说，由于实行计划经济体制的国家较之市场经济体制国家而言，更强调收入分配公平，因而在剔除其他因素影响下，前者的相对财政规模会更大一些。 </w:t>
      </w:r>
    </w:p>
    <w:p>
      <w:pPr>
        <w:pStyle w:val="2"/>
        <w:ind w:left="0" w:right="0" w:firstLine="420"/>
        <w:rPr>
          <w:sz w:val="21"/>
        </w:rPr>
      </w:pPr>
      <w:r>
        <w:rPr>
          <w:sz w:val="21"/>
        </w:rPr>
        <w:t>（四）价格水平对财政收入规模的影响</w:t>
      </w:r>
    </w:p>
    <w:p>
      <w:pPr>
        <w:pStyle w:val="2"/>
        <w:ind w:left="0" w:right="0" w:firstLine="420"/>
        <w:rPr>
          <w:sz w:val="21"/>
        </w:rPr>
      </w:pPr>
      <w:r>
        <w:rPr>
          <w:sz w:val="21"/>
        </w:rPr>
        <w:t>价格变动对财政收入的影响，首先表现在价格总水平升降的影响上。实际上价格的变化会对财政收入规模产生不同的影响，物价上升时，财政收入增长率可能高于物价上升程度，即财政收入的实际增长；财政收入增长率也有可能和物价上涨程度持平，即财政收入实际上没有增长；当财政收入增长率低于物价上升程度时，财政收入就变成了负增长。</w:t>
      </w:r>
    </w:p>
    <w:p>
      <w:pPr>
        <w:pStyle w:val="2"/>
        <w:ind w:left="0" w:right="0" w:firstLine="420"/>
        <w:rPr>
          <w:sz w:val="21"/>
        </w:rPr>
      </w:pPr>
      <w:r>
        <w:rPr>
          <w:sz w:val="21"/>
        </w:rPr>
        <w:t>另外，财政收入体制中的税收制度对于价格水平的上涨反应是不同的。</w:t>
      </w:r>
    </w:p>
    <w:p>
      <w:pPr>
        <w:pStyle w:val="2"/>
        <w:ind w:left="0" w:right="0" w:firstLine="420"/>
        <w:rPr>
          <w:sz w:val="21"/>
        </w:rPr>
      </w:pPr>
      <w:r>
        <w:rPr>
          <w:sz w:val="21"/>
        </w:rPr>
        <w:t>除了价格总水平以外，价格比率的变化也会引起财政收入的变化。</w:t>
      </w:r>
    </w:p>
    <w:p>
      <w:pPr>
        <w:pStyle w:val="2"/>
        <w:ind w:left="0" w:right="0" w:firstLine="420"/>
        <w:rPr>
          <w:sz w:val="21"/>
        </w:rPr>
      </w:pPr>
      <w:r>
        <w:rPr>
          <w:sz w:val="21"/>
        </w:rPr>
        <w:t>（五）政治与社会因素对财政收入规模的影响</w:t>
      </w:r>
    </w:p>
    <w:p>
      <w:pPr>
        <w:pStyle w:val="2"/>
        <w:ind w:left="0" w:right="0" w:firstLine="420"/>
        <w:rPr>
          <w:sz w:val="21"/>
        </w:rPr>
      </w:pPr>
      <w:r>
        <w:rPr>
          <w:sz w:val="21"/>
        </w:rPr>
        <w:t xml:space="preserve">政治因素对财政收入规模的影响，主要体现在政局和政体结构两个方面。 </w:t>
      </w:r>
    </w:p>
    <w:p>
      <w:pPr>
        <w:pStyle w:val="2"/>
        <w:ind w:left="0" w:right="0" w:firstLine="420"/>
        <w:jc w:val="left"/>
      </w:pPr>
      <w:r>
        <w:rPr>
          <w:sz w:val="21"/>
        </w:rPr>
        <w:t>社会因素如人口状态和文化背景等，在一定程度上也影响着财政收入规模。</w:t>
      </w:r>
    </w:p>
    <w:p>
      <w:pPr>
        <w:pStyle w:val="2"/>
        <w:ind w:right="0"/>
      </w:pPr>
      <w:r>
        <w:rPr>
          <w:rFonts w:ascii="宋体" w:hAnsi="宋体" w:eastAsia="宋体" w:cs="宋体"/>
          <w:b w:val="0"/>
          <w:sz w:val="21"/>
          <w:szCs w:val="21"/>
        </w:rPr>
        <w:t>4. 答案：答：公共物品有纯公共物品和混合公共物品两类，前者具有非排他性和非竞争性，所以只能由政府提供，后者兼具公共物品和私人物品的性质，可以采取公共提供方式，也可以采取混合提供方式。</w:t>
      </w:r>
    </w:p>
    <w:p>
      <w:pPr>
        <w:pStyle w:val="2"/>
        <w:ind w:left="0" w:right="0" w:firstLine="211"/>
        <w:rPr>
          <w:rFonts w:ascii="宋体" w:hAnsi="宋体" w:eastAsia="宋体"/>
          <w:b/>
          <w:sz w:val="24"/>
        </w:rPr>
      </w:pPr>
    </w:p>
    <w:p>
      <w:pPr>
        <w:ind w:left="0" w:right="0" w:firstLine="211"/>
        <w:rPr>
          <w:rFonts w:ascii="宋体" w:hAnsi="宋体" w:eastAsia="宋体"/>
          <w:b w:val="0"/>
          <w:sz w:val="21"/>
        </w:rPr>
      </w:pPr>
    </w:p>
    <w:p>
      <w:pPr>
        <w:rPr>
          <w:rFonts w:hint="default" w:ascii="宋体" w:hAnsi="宋体" w:cs="宋体"/>
          <w:b/>
          <w:bCs/>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jZDczN2VjNDBhZjIwYzk1ZjIxZmJjMDllZDY4MWEifQ=="/>
  </w:docVars>
  <w:rsids>
    <w:rsidRoot w:val="62052251"/>
    <w:rsid w:val="620522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6"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iPriority w:val="7"/>
    <w:pPr>
      <w:spacing w:before="0" w:after="140" w:line="288" w:lineRule="auto"/>
    </w:pPr>
  </w:style>
  <w:style w:type="paragraph" w:styleId="3">
    <w:name w:val="footer"/>
    <w:basedOn w:val="1"/>
    <w:uiPriority w:val="6"/>
    <w:pPr>
      <w:snapToGrid w:val="0"/>
      <w:jc w:val="left"/>
    </w:pPr>
    <w:rPr>
      <w:sz w:val="18"/>
      <w:szCs w:val="18"/>
    </w:rPr>
  </w:style>
  <w:style w:type="paragraph" w:customStyle="1" w:styleId="6">
    <w:name w:val="Table Contents"/>
    <w:basedOn w:val="1"/>
    <w:qFormat/>
    <w:uiPriority w:val="6"/>
    <w:pPr>
      <w:suppressLineNumbers/>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2022-07-02T05:59:00Z</dcterms:created>
  <dc:creator>温岭育华徐老师18957602802</dc:creator>
  <cp:lastModifiedBy>温岭育华徐老师18957602802</cp:lastModifiedBy>
  <dcterms:modified xsi:type="dcterms:W3CDTF">2022-07-02T06:07:51Z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8B6B60A8CD4B43B1A6CD61C1673BB6EB</vt:lpwstr>
  </property>
</Properties>
</file>