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cs="宋体"/>
          <w:b/>
          <w:bCs w:val="0"/>
          <w:sz w:val="32"/>
          <w:u w:val="none"/>
          <w:lang w:val="en-US" w:eastAsia="zh-CN"/>
        </w:rPr>
      </w:pPr>
      <w:r>
        <w:rPr>
          <w:rFonts w:hint="eastAsia" w:ascii="宋体" w:hAnsi="宋体" w:cs="宋体"/>
          <w:b/>
          <w:bCs w:val="0"/>
          <w:sz w:val="32"/>
          <w:u w:val="none"/>
          <w:lang w:val="en-US" w:eastAsia="zh-CN"/>
        </w:rPr>
        <w:t>税收筹划复习资料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1.纳税筹划的主体是(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 纳税人    B. 征税对象</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c.计税依据       D. 税务机关      </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   )进行分类，纳税筹划可以分为绝对节税和相对节税。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不同税种    B.节稳原理    c.不同性质企业      D.不同纳税主体      </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下列混合销售行为中应当征收增值税的是(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A.</w:t>
      </w:r>
      <w:r>
        <w:rPr>
          <w:rFonts w:hint="eastAsia" w:asciiTheme="minorEastAsia" w:hAnsiTheme="minorEastAsia" w:eastAsiaTheme="minorEastAsia" w:cstheme="minorEastAsia"/>
          <w:sz w:val="24"/>
          <w:szCs w:val="24"/>
        </w:rPr>
        <w:t>家具厂销售家具并有偿送货上门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B.</w:t>
      </w:r>
      <w:r>
        <w:rPr>
          <w:rFonts w:hint="eastAsia" w:asciiTheme="minorEastAsia" w:hAnsiTheme="minorEastAsia" w:eastAsiaTheme="minorEastAsia" w:cstheme="minorEastAsia"/>
          <w:sz w:val="24"/>
          <w:szCs w:val="24"/>
        </w:rPr>
        <w:t>电信部门销售移动电话并提供有偿电信服务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c.装饰公司为客户提供设计并包工包料装修房屋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D.饭店提供餐饮服务同时提供酒水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4.一般纳税人外购或销售货物所支付的(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)依7%的扣除率计算进项税额准予扣除。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A.保险费      B. 装卸费       C.  运输费       D.其他杂费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适用消费税定额税率的税目有（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 卷烟      B. 烟丝   C.  黄酒     D.  白酒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rPr>
        <w:t>下列各项收入中可以免征营业税的是(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A.高等学校利用学生公寓为社会服务取得的放入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B.个人销售购买超过5 年的普通住房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个人出租自有住房取得的租金收入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D.单位销售自建房屋取得的收入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rPr>
        <w:t>企业所得税的纳税义务人不包括下列哪类企业?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A.国有、集体企业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B.联营、股份制企业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C.私营企业           D.个人独资企业和合伙企业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rPr>
        <w:t>下列适用个人所得税5%—45%的九级超额累进税率的是(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A.劳务报酬    B.工资薪金 </w:t>
      </w:r>
      <w:r>
        <w:rPr>
          <w:rFonts w:hint="eastAsia" w:asciiTheme="minorEastAsia" w:hAnsiTheme="minorEastAsia" w:cstheme="minorEastAsia"/>
          <w:sz w:val="24"/>
          <w:szCs w:val="24"/>
          <w:lang w:val="en-US" w:eastAsia="zh-CN"/>
        </w:rPr>
        <w:t xml:space="preserve">   C</w:t>
      </w:r>
      <w:r>
        <w:rPr>
          <w:rFonts w:hint="eastAsia" w:asciiTheme="minorEastAsia" w:hAnsiTheme="minorEastAsia" w:eastAsiaTheme="minorEastAsia" w:cstheme="minorEastAsia"/>
          <w:sz w:val="24"/>
          <w:szCs w:val="24"/>
        </w:rPr>
        <w:t>.  稿酬所得       D. 个体工商户所得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9.个人所得税居民纳程人的临时离境是指在一个纳税年度内(   )的离境。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A.一次不超过40 日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B.多次累计不超过100 日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一次不超过30 日或者多次累计不超过180 日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D.一次不超过30 日或者多次累计不超过90 日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0.</w:t>
      </w:r>
      <w:r>
        <w:rPr>
          <w:rFonts w:hint="eastAsia" w:asciiTheme="minorEastAsia" w:hAnsiTheme="minorEastAsia" w:eastAsiaTheme="minorEastAsia" w:cstheme="minorEastAsia"/>
          <w:sz w:val="24"/>
          <w:szCs w:val="24"/>
        </w:rPr>
        <w:t>当甲乙双方交换房屋的价格相等时，契税应由(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A.甲方缴纳   B.乙方缴纳  C.甲乙双方各缴纳一半   D.甲乙双方均不缴纳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多</w:t>
      </w:r>
      <w:r>
        <w:rPr>
          <w:rFonts w:hint="eastAsia" w:hAnsi="宋体"/>
          <w:b/>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1.纳税筹划的合法性要求是与〈   )的根本区刻。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A.逃税    B. 欠税        C. 骗税       D. 避税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2.税负转嫁筹划能否通过价格浮动实现，关键取决于(   )的大小。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A.商品供给弹性   B.税率高低   C.商品需求弹性   D. 计程依据形式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3.增值税按日〈次〉计算和按月计算的起征点分别为销售额的(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A.150-200 元  B. 200-1000 元    C. 1500-3000 元    D. 2000-5000 元  4.企业所得税的纳税义务人包括(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A.国有企业  B. 个人独资企业   C.股份制企业    D. 合伙企业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5.在计算企业所得税时准予按比例扣除的项目有(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A.企业的职工福利费用           B.向金融机构的借款利息支出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 企业的业务招待费            D.企业的广告费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1.顺法意识的避税行为也属于纳税筹划的范围。(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rPr>
        <w:t>.商品交易行为是税负转嫁的必要条件。(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.某大饭店既经营餐饮业，又开办歌舞厅，属于混合销售。(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rPr>
        <w:t>.包装物押金单独记账核算的不并入销售额计算缴纳消费税。(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rPr>
        <w:t>.委托加工应税消费品以委托人为消费税的纳税义务人。(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rPr>
        <w:t>.营业税按次纳税的起征点为每次〈日〉营业额500 元。(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rPr>
        <w:t>.居民企业负担全面纳税义务(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rPr>
        <w:t>.企业应纳税所得额的计算应遵循权责发生制原则。(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9</w:t>
      </w:r>
      <w:r>
        <w:rPr>
          <w:rFonts w:hint="eastAsia" w:asciiTheme="minorEastAsia" w:hAnsiTheme="minorEastAsia" w:eastAsiaTheme="minorEastAsia" w:cstheme="minorEastAsia"/>
          <w:sz w:val="24"/>
          <w:szCs w:val="24"/>
        </w:rPr>
        <w:t>.计算财产租赁所得的个人所得税应纳税额时，每次可扣除800 元的修缮费。(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10</w:t>
      </w:r>
      <w:r>
        <w:rPr>
          <w:rFonts w:hint="eastAsia" w:asciiTheme="minorEastAsia" w:hAnsiTheme="minorEastAsia" w:eastAsiaTheme="minorEastAsia" w:cstheme="minorEastAsia"/>
          <w:sz w:val="24"/>
          <w:szCs w:val="24"/>
        </w:rPr>
        <w:t>.资源税以纳税人的销售数量或使南数量为计税依据。(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val="en-US" w:eastAsia="zh-CN"/>
        </w:rPr>
        <w:t>四</w:t>
      </w:r>
      <w:r>
        <w:rPr>
          <w:rFonts w:hint="eastAsia" w:hAnsi="宋体"/>
          <w:b/>
          <w:kern w:val="0"/>
          <w:sz w:val="24"/>
          <w:szCs w:val="24"/>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lang w:val="en-US" w:eastAsia="zh-CN"/>
        </w:rPr>
        <w:t>1</w:t>
      </w:r>
      <w:r>
        <w:rPr>
          <w:rFonts w:hint="eastAsia" w:hAnsi="宋体"/>
          <w:b/>
          <w:bCs w:val="0"/>
          <w:kern w:val="0"/>
          <w:sz w:val="24"/>
          <w:szCs w:val="24"/>
        </w:rPr>
        <w:t>. 简述对纳税筹划定义的理解。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lang w:val="en-US" w:eastAsia="zh-CN"/>
        </w:rPr>
        <w:t>2</w:t>
      </w:r>
      <w:r>
        <w:rPr>
          <w:rFonts w:hint="eastAsia" w:hAnsi="宋体"/>
          <w:b/>
          <w:bCs w:val="0"/>
          <w:kern w:val="0"/>
          <w:sz w:val="24"/>
          <w:szCs w:val="24"/>
        </w:rPr>
        <w:t>. 简述营业税纳税人的筹划中如何避免成为营业税纳税人。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五、</w:t>
      </w:r>
      <w:r>
        <w:rPr>
          <w:rFonts w:hint="eastAsia" w:hAnsi="宋体" w:cs="Times New Roman"/>
          <w:lang w:eastAsia="zh-CN"/>
        </w:rPr>
        <w:t>案例分析</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某卷烟厂生产的卷烟每条调拨价格75 元，当月销售6 000 条。这批卷烟的生产成本为29.5 元／条，当月分摊在这批卷烟上的期间费用为8 000 元。假设企业将卷烟每条调拨价格调低至68 元呢？（我国现行税法规定，对卷烟在首先征收一道从量税的基础上，再按价格不同征收不同的比例税率。对于每条调拨价格在70 元以上（含70 元）的卷烟，比例税率为56 % ；对于每条调拨价格在70 元以下（不含70 元）的卷烟，比例税率为36 ％。）     计算分析该卷烟厂应如何进行筹划减轻消费税税负（在不考虑其他税种的情况下）？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val="en-US" w:eastAsia="zh-CN"/>
        </w:rPr>
        <w:t>2</w:t>
      </w:r>
      <w:r>
        <w:rPr>
          <w:rFonts w:hint="eastAsia" w:hAnsi="宋体" w:cs="Times New Roman"/>
        </w:rPr>
        <w:t xml:space="preserve">. 某公司拥有一幢库房，原值1 000 万元。如何运用这幢房产进行经营，有两种选择:第一，将其出租，每年可获得租金收入120 万元；第二，为客户提供仓储保管服务，每年收取服务费120万元。从流转税和房产税筹划看，哪个方案对企业更为有利（房产税计税扣除率30%，城建税税率7%，教育附加费率3%）？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lang w:val="en-US" w:eastAsia="zh-CN"/>
        </w:rPr>
        <w:t>3.</w:t>
      </w:r>
      <w:r>
        <w:rPr>
          <w:rFonts w:hint="eastAsia" w:hAnsi="宋体" w:cs="Times New Roman"/>
        </w:rPr>
        <w:t>某商场分别于元旦和春节推出大减价活动，商场的所有商品在活动期间一律七折销售，分别实现287万元和308万元的含税销售收入，该商场的增值税适用税率为17%，企业所得税适用税率为25%。分析该商场折扣销售所降低的税负对让利损失的补偿效应。</w:t>
      </w:r>
      <w:r>
        <w:rPr>
          <w:rFonts w:hint="eastAsia" w:hAnsi="宋体" w:cs="Times New Roman"/>
          <w:lang w:eastAsia="zh-CN"/>
        </w:rPr>
        <w:br w:type="page"/>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hAnsi="宋体" w:cs="Times New Roman"/>
          <w:lang w:eastAsia="zh-CN"/>
        </w:rPr>
      </w:pPr>
      <w:r>
        <w:rPr>
          <w:rFonts w:hint="eastAsia" w:ascii="宋体" w:hAnsi="宋体" w:cs="宋体"/>
          <w:b/>
          <w:bCs w:val="0"/>
          <w:sz w:val="32"/>
          <w:u w:val="none"/>
          <w:lang w:val="en-US" w:eastAsia="zh-CN"/>
        </w:rPr>
        <w:t>税收筹划复习资料答</w:t>
      </w:r>
      <w:bookmarkStart w:id="0" w:name="_GoBack"/>
      <w:bookmarkEnd w:id="0"/>
      <w:r>
        <w:rPr>
          <w:rFonts w:hint="eastAsia" w:ascii="宋体" w:hAnsi="宋体" w:cs="宋体"/>
          <w:b/>
          <w:bCs w:val="0"/>
          <w:sz w:val="32"/>
          <w:u w:val="none"/>
          <w:lang w:val="en-US" w:eastAsia="zh-CN"/>
        </w:rPr>
        <w:t>案</w:t>
      </w:r>
    </w:p>
    <w:p>
      <w:pPr>
        <w:pStyle w:val="2"/>
        <w:keepNext w:val="0"/>
        <w:keepLines w:val="0"/>
        <w:pageBreakBefore w:val="0"/>
        <w:widowControl w:val="0"/>
        <w:numPr>
          <w:ilvl w:val="0"/>
          <w:numId w:val="4"/>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单项选择题题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l. A    2. B    3.     4. C   5. C   6. B       7.D   8. B    9. D    10. D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二、多项选择题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1. ABCD      2.      3. AD      4. AC      5. ACD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三、判断{正确的划√，错误的划X.}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  </w:t>
      </w:r>
      <w:r>
        <w:rPr>
          <w:rFonts w:hint="eastAsia" w:hAnsi="宋体" w:cs="Times New Roman"/>
          <w:lang w:val="en-US" w:eastAsia="zh-CN"/>
        </w:rPr>
        <w:t>2</w:t>
      </w:r>
      <w:r>
        <w:rPr>
          <w:rFonts w:hint="eastAsia" w:hAnsi="宋体" w:cs="Times New Roman"/>
          <w:lang w:eastAsia="zh-CN"/>
        </w:rPr>
        <w:t>. √   </w:t>
      </w:r>
      <w:r>
        <w:rPr>
          <w:rFonts w:hint="eastAsia" w:hAnsi="宋体" w:cs="Times New Roman"/>
          <w:lang w:val="en-US" w:eastAsia="zh-CN"/>
        </w:rPr>
        <w:t>3</w:t>
      </w:r>
      <w:r>
        <w:rPr>
          <w:rFonts w:hint="eastAsia" w:hAnsi="宋体" w:cs="Times New Roman"/>
          <w:lang w:eastAsia="zh-CN"/>
        </w:rPr>
        <w:t>. X    </w:t>
      </w:r>
      <w:r>
        <w:rPr>
          <w:rFonts w:hint="eastAsia" w:hAnsi="宋体" w:cs="Times New Roman"/>
          <w:lang w:val="en-US" w:eastAsia="zh-CN"/>
        </w:rPr>
        <w:t>4</w:t>
      </w:r>
      <w:r>
        <w:rPr>
          <w:rFonts w:hint="eastAsia" w:hAnsi="宋体" w:cs="Times New Roman"/>
          <w:lang w:eastAsia="zh-CN"/>
        </w:rPr>
        <w:t>. √    </w:t>
      </w:r>
      <w:r>
        <w:rPr>
          <w:rFonts w:hint="eastAsia" w:hAnsi="宋体" w:cs="Times New Roman"/>
          <w:lang w:val="en-US" w:eastAsia="zh-CN"/>
        </w:rPr>
        <w:t>5</w:t>
      </w:r>
      <w:r>
        <w:rPr>
          <w:rFonts w:hint="eastAsia" w:hAnsi="宋体" w:cs="Times New Roman"/>
          <w:lang w:eastAsia="zh-CN"/>
        </w:rPr>
        <w:t>.    </w:t>
      </w:r>
      <w:r>
        <w:rPr>
          <w:rFonts w:hint="eastAsia" w:hAnsi="宋体" w:cs="Times New Roman"/>
          <w:lang w:val="en-US" w:eastAsia="zh-CN"/>
        </w:rPr>
        <w:t>6</w:t>
      </w:r>
      <w:r>
        <w:rPr>
          <w:rFonts w:hint="eastAsia" w:hAnsi="宋体" w:cs="Times New Roman"/>
          <w:lang w:eastAsia="zh-CN"/>
        </w:rPr>
        <w:t>. X    </w:t>
      </w:r>
      <w:r>
        <w:rPr>
          <w:rFonts w:hint="eastAsia" w:hAnsi="宋体" w:cs="Times New Roman"/>
          <w:lang w:val="en-US" w:eastAsia="zh-CN"/>
        </w:rPr>
        <w:t>7</w:t>
      </w:r>
      <w:r>
        <w:rPr>
          <w:rFonts w:hint="eastAsia" w:hAnsi="宋体" w:cs="Times New Roman"/>
          <w:lang w:eastAsia="zh-CN"/>
        </w:rPr>
        <w:t>. √    </w:t>
      </w:r>
      <w:r>
        <w:rPr>
          <w:rFonts w:hint="eastAsia" w:hAnsi="宋体" w:cs="Times New Roman"/>
          <w:lang w:val="en-US" w:eastAsia="zh-CN"/>
        </w:rPr>
        <w:t>8</w:t>
      </w:r>
      <w:r>
        <w:rPr>
          <w:rFonts w:hint="eastAsia" w:hAnsi="宋体" w:cs="Times New Roman"/>
          <w:lang w:eastAsia="zh-CN"/>
        </w:rPr>
        <w:t>. √    </w:t>
      </w:r>
      <w:r>
        <w:rPr>
          <w:rFonts w:hint="eastAsia" w:hAnsi="宋体" w:cs="Times New Roman"/>
          <w:lang w:val="en-US" w:eastAsia="zh-CN"/>
        </w:rPr>
        <w:t>9</w:t>
      </w:r>
      <w:r>
        <w:rPr>
          <w:rFonts w:hint="eastAsia" w:hAnsi="宋体" w:cs="Times New Roman"/>
          <w:lang w:eastAsia="zh-CN"/>
        </w:rPr>
        <w:t>. √    </w:t>
      </w:r>
      <w:r>
        <w:rPr>
          <w:rFonts w:hint="eastAsia" w:hAnsi="宋体" w:cs="Times New Roman"/>
          <w:lang w:val="en-US" w:eastAsia="zh-CN"/>
        </w:rPr>
        <w:t>10</w:t>
      </w:r>
      <w:r>
        <w:rPr>
          <w:rFonts w:hint="eastAsia" w:hAnsi="宋体" w:cs="Times New Roman"/>
          <w:lang w:eastAsia="zh-CN"/>
        </w:rPr>
        <w:t> √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四、简答题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  纳税筹划是纳税人在法律规定许可的范围内，凭借法律赋予的正当权利，通过对投资、筹资、经营、理财等活动的事先安排与规划，以达到减少税款缴纳或递延税款缴结目的的一系列谋划活动。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对其更深层次的理解是: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(1)纳税筹划 的主体是纳税人。 对于纳税人来讲，其在经营、投资、理财等各项业务中涉及税款计算缴纳的行为都是涉税事务。只有纳税人在同一业务中可能涉及不同的税收法律、法规，可以通过调整自身的涉税行为以期减轻相应的税收负担，纳税筹划更清楚地界定了"筹划" 的主体是作为税款缴纳一方的纳税人。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(2)纳税筹划的合法性要求。是纳税筹划与逃税、抗税、骗税等违法行为的根本区别。     (3)纳税筹划是法律赋予纳税人的一项正当权利。在市场经济条件下，企业作为独立法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人在合理合法的范围内追求自身财务利益最大化是一项正当权利。个人和家庭作为国家法律保护的对象也有权利谋求自身合法权利的最大化。纳税是纳税人经济利益的无偿付出。纳税筹划是企业、个人和家庭对自身资产、收益的正当维护，属于其应有的经济权利。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(4)纳税筹划是纳税人的一系列综合性谋划活动。这种综合性体现在： 第一，纳税筹划是纳税人财务规划的一个重要组成部分，是以纳税人总体财务利益最大化为目标的。第二，纳税人在经营、投资、理财过程中面临的应缴税种不止一个，而且有些税种是相互关联的，因此，在纳税筹划中不能局限于某个个别税种税负的高低，而应统一规划相关税种，使总体税负最低。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第三，纳税筹划也需要成本，综合筹划的结果应是效益成本比最大。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2</w:t>
      </w:r>
      <w:r>
        <w:rPr>
          <w:rFonts w:hint="eastAsia" w:hAnsi="宋体" w:cs="Times New Roman"/>
          <w:lang w:eastAsia="zh-CN"/>
        </w:rPr>
        <w:t>.  经营者可以通过纳税人之间合并避免成为营业税纳税人。例如，合并企业的一方所提供  的应缴营业税的劳务恰恰是合并企业另一方生产经营活动中所需要的。在合并以前，这种相  互间提供劳务的行为是营业税的应税行为，应该缴纳营业税。而合并以后，由于合并各方形成了一个营业税纳税主体，各方相互提供劳务的行为属于企业内部行为，而这种内部行为是不缴纳营业税的。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通过使某些原在境内发生的应税劳务转移至境外的方法避免成为营业税纳税人。我国  《营业税暂行条例》规定，在中华人民共和国境内提供应税劳务、转让无形资产或者销售不动产的单位和个人，为营业税的纳税义务人。而"境内"是指：其一，提供或者接受《营业税暂行条例》规定劳务的单位或者个人在境内;其二，所转让的无形资产〈不含土地使用权〉的接受单位或者个人在境内； 其三，所转让或者出租土地使用权的土地在境内；其四，所销售或者出租的不动产在境内。另外，单位以承包、承租、挂靠方式经营的，承包人、承租人、挂靠人〈以下统称承包人)发生应税行为，承包人以发包人、出租人、被挂靠人〈以下统称发包人)名义对外经营并由发包人承担相关法律责任的，以发包人为纳税人；否则以承包人为纳税人。经营者可以根据自身情况，将一些跨境劳务或承包、承租劳务排除在上述规定的纳税人范围之外，避免成为营业税的纳税人。</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5"/>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案例分析题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 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该卷烟厂如果不进行纳税筹划，则应按56%的税率缴纳消费税。企业当月的应纳税款和盈利情况分别为：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应纳消费税税额=6000/250X150十75 X 6000 X 56 % =  255600(元〉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销售利润=75X6 000 -29. 5X6 000 -255 600-8000  =  9400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不难看出，该厂生产的卷烟价格为75 元，与临界点70 元相差不大，但适用税率相差 20%。企业如果主动将价格调低至70 元以下，可能大大减轻税负，弥补价格下降带来的损失。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假设企业将卷烟每条调拨价格调低至68 元，那么企业当月的纳税和盈利情况分别为：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应纳消费税=6000/250X150十68X6000X 36%之= 150480(元〉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销售利润=68X6 000 -29.5 X 6 000-150 480 -8000 =72 520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18"/>
        <w:jc w:val="both"/>
        <w:textAlignment w:val="auto"/>
        <w:rPr>
          <w:rFonts w:hint="eastAsia" w:hAnsi="宋体" w:cs="Times New Roman"/>
          <w:lang w:eastAsia="zh-CN"/>
        </w:rPr>
      </w:pPr>
      <w:r>
        <w:rPr>
          <w:rFonts w:hint="eastAsia" w:hAnsi="宋体" w:cs="Times New Roman"/>
          <w:lang w:eastAsia="zh-CN"/>
        </w:rPr>
        <w:t>通过比较可以发现，企业降低调拨价格后，销售收入减少 42 000 元(75 X 6000 一  68X6 000  ) ，但应纳消费税款减少105 120 元(255 600-150 480  )  ，税款减少远远大于销售收入的减少，从而使销售利润增加了63120 元(72 520-9400)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18"/>
        <w:jc w:val="both"/>
        <w:textAlignment w:val="auto"/>
        <w:rPr>
          <w:rFonts w:hint="eastAsia" w:hAnsi="宋体" w:cs="Times New Roman"/>
          <w:lang w:eastAsia="zh-CN"/>
        </w:rPr>
      </w:pPr>
    </w:p>
    <w:p>
      <w:pPr>
        <w:pStyle w:val="2"/>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firstLine="0" w:firstLineChars="0"/>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hAnsi="宋体" w:cs="Times New Roman"/>
          <w:lang w:eastAsia="zh-CN"/>
        </w:rPr>
      </w:pPr>
      <w:r>
        <w:rPr>
          <w:rFonts w:hint="eastAsia" w:hAnsi="宋体" w:cs="Times New Roman"/>
          <w:lang w:eastAsia="zh-CN"/>
        </w:rPr>
        <w:t>方案一：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应纳营业税税额=1200000X 5 % =  60000(元〉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应纳城市维护建设税及教育费附加=60000X (  7%十3% )=6000 (元〉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应纳房产税税额=1200000X 12% =144000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jc w:val="both"/>
        <w:textAlignment w:val="auto"/>
        <w:rPr>
          <w:rFonts w:hint="eastAsia" w:hAnsi="宋体" w:cs="Times New Roman"/>
          <w:lang w:eastAsia="zh-CN"/>
        </w:rPr>
      </w:pPr>
      <w:r>
        <w:rPr>
          <w:rFonts w:hint="eastAsia" w:hAnsi="宋体" w:cs="Times New Roman"/>
          <w:lang w:eastAsia="zh-CN"/>
        </w:rPr>
        <w:t>应纳税款合计金额=60000 十 6 000  +  144 000  = 210000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方案二：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应纳房产税税额=1200000X5% =  60000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应纳城市维护建设税及教育费附加=60000X (  7%+3%  )   = 6000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应纳房产税税额=10 000000X (1 -30%) X 1. 2%  =84000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应纳税款合计金额=60000 十 6000 +84 000 =  150000 (元〉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可节省税费=210 000 -150 000 =  60 000  (元〉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2103" w:afterLines="674" w:afterAutospacing="0" w:line="240" w:lineRule="auto"/>
        <w:jc w:val="both"/>
        <w:textAlignment w:val="auto"/>
        <w:rPr>
          <w:rFonts w:hint="default" w:hAnsi="宋体" w:cs="Times New Roman"/>
          <w:lang w:val="en-US" w:eastAsia="zh-CN"/>
        </w:rPr>
      </w:pPr>
      <w:r>
        <w:rPr>
          <w:rFonts w:hint="eastAsia" w:hAnsi="宋体" w:cs="Times New Roman"/>
          <w:lang w:val="en-US" w:eastAsia="zh-CN"/>
        </w:rPr>
        <w:t>3.</w:t>
      </w:r>
      <w:r>
        <w:rPr>
          <w:rFonts w:hint="default" w:hAnsi="宋体" w:cs="Times New Roman"/>
          <w:lang w:val="en-US" w:eastAsia="zh-CN"/>
        </w:rPr>
        <w:drawing>
          <wp:inline distT="0" distB="0" distL="114300" distR="114300">
            <wp:extent cx="5268595" cy="2950210"/>
            <wp:effectExtent l="0" t="0" r="8255" b="2540"/>
            <wp:docPr id="3" name="图片 3"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3"/>
                    <pic:cNvPicPr>
                      <a:picLocks noChangeAspect="1"/>
                    </pic:cNvPicPr>
                  </pic:nvPicPr>
                  <pic:blipFill>
                    <a:blip r:embed="rId5"/>
                    <a:stretch>
                      <a:fillRect/>
                    </a:stretch>
                  </pic:blipFill>
                  <pic:spPr>
                    <a:xfrm>
                      <a:off x="0" y="0"/>
                      <a:ext cx="5268595" cy="2950210"/>
                    </a:xfrm>
                    <a:prstGeom prst="rect">
                      <a:avLst/>
                    </a:prstGeom>
                  </pic:spPr>
                </pic:pic>
              </a:graphicData>
            </a:graphic>
          </wp:inline>
        </w:drawing>
      </w:r>
    </w:p>
    <w:sectPr>
      <w:footerReference r:id="rId3" w:type="default"/>
      <w:pgSz w:w="11906" w:h="16838"/>
      <w:pgMar w:top="102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A07FA"/>
    <w:multiLevelType w:val="singleLevel"/>
    <w:tmpl w:val="A7CA07FA"/>
    <w:lvl w:ilvl="0" w:tentative="0">
      <w:start w:val="1"/>
      <w:numFmt w:val="upperLetter"/>
      <w:lvlText w:val="%1."/>
      <w:lvlJc w:val="left"/>
      <w:pPr>
        <w:tabs>
          <w:tab w:val="left" w:pos="312"/>
        </w:tabs>
      </w:pPr>
    </w:lvl>
  </w:abstractNum>
  <w:abstractNum w:abstractNumId="1">
    <w:nsid w:val="B476C111"/>
    <w:multiLevelType w:val="singleLevel"/>
    <w:tmpl w:val="B476C111"/>
    <w:lvl w:ilvl="0" w:tentative="0">
      <w:start w:val="5"/>
      <w:numFmt w:val="chineseCounting"/>
      <w:suff w:val="nothing"/>
      <w:lvlText w:val="%1、"/>
      <w:lvlJc w:val="left"/>
      <w:rPr>
        <w:rFonts w:hint="eastAsia"/>
      </w:rPr>
    </w:lvl>
  </w:abstractNum>
  <w:abstractNum w:abstractNumId="2">
    <w:nsid w:val="05F772B2"/>
    <w:multiLevelType w:val="singleLevel"/>
    <w:tmpl w:val="05F772B2"/>
    <w:lvl w:ilvl="0" w:tentative="0">
      <w:start w:val="1"/>
      <w:numFmt w:val="chineseCounting"/>
      <w:suff w:val="nothing"/>
      <w:lvlText w:val="%1、"/>
      <w:lvlJc w:val="left"/>
      <w:rPr>
        <w:rFonts w:hint="eastAsia"/>
      </w:rPr>
    </w:lvl>
  </w:abstractNum>
  <w:abstractNum w:abstractNumId="3">
    <w:nsid w:val="5D37D0AA"/>
    <w:multiLevelType w:val="singleLevel"/>
    <w:tmpl w:val="5D37D0AA"/>
    <w:lvl w:ilvl="0" w:tentative="0">
      <w:start w:val="1"/>
      <w:numFmt w:val="decimal"/>
      <w:lvlText w:val="%1."/>
      <w:lvlJc w:val="left"/>
      <w:pPr>
        <w:tabs>
          <w:tab w:val="left" w:pos="312"/>
        </w:tabs>
      </w:pPr>
    </w:lvl>
  </w:abstractNum>
  <w:abstractNum w:abstractNumId="4">
    <w:nsid w:val="7B3CCB66"/>
    <w:multiLevelType w:val="singleLevel"/>
    <w:tmpl w:val="7B3CCB66"/>
    <w:lvl w:ilvl="0" w:tentative="0">
      <w:start w:val="2"/>
      <w:numFmt w:val="decimal"/>
      <w:lvlText w:val="%1."/>
      <w:lvlJc w:val="left"/>
      <w:pPr>
        <w:tabs>
          <w:tab w:val="left" w:pos="312"/>
        </w:tabs>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8D3C75"/>
    <w:rsid w:val="03CF7003"/>
    <w:rsid w:val="03D90A78"/>
    <w:rsid w:val="045231A1"/>
    <w:rsid w:val="04566898"/>
    <w:rsid w:val="045E7151"/>
    <w:rsid w:val="04BD711A"/>
    <w:rsid w:val="04D034ED"/>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D60163E"/>
    <w:rsid w:val="0DB7027D"/>
    <w:rsid w:val="0DE90BAE"/>
    <w:rsid w:val="0E44619C"/>
    <w:rsid w:val="0E4B79C0"/>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467365"/>
    <w:rsid w:val="1DC753FC"/>
    <w:rsid w:val="1E1647EB"/>
    <w:rsid w:val="1E5A4EE8"/>
    <w:rsid w:val="1E6E61B4"/>
    <w:rsid w:val="1E977720"/>
    <w:rsid w:val="1EA128F4"/>
    <w:rsid w:val="1F2C2B10"/>
    <w:rsid w:val="1F361A21"/>
    <w:rsid w:val="1F516742"/>
    <w:rsid w:val="1F6B33E3"/>
    <w:rsid w:val="1FAF3901"/>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D91FD7"/>
    <w:rsid w:val="26176ABD"/>
    <w:rsid w:val="262C3ECA"/>
    <w:rsid w:val="264D499C"/>
    <w:rsid w:val="275A45A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6E2A6C"/>
    <w:rsid w:val="40802AB1"/>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6703954"/>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50196350"/>
    <w:rsid w:val="50271214"/>
    <w:rsid w:val="504537C5"/>
    <w:rsid w:val="5086695A"/>
    <w:rsid w:val="51321D1B"/>
    <w:rsid w:val="516C13EC"/>
    <w:rsid w:val="51932C19"/>
    <w:rsid w:val="51A92371"/>
    <w:rsid w:val="51EE1B4A"/>
    <w:rsid w:val="522C6360"/>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065F91"/>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27B1777"/>
    <w:rsid w:val="6374583B"/>
    <w:rsid w:val="63AB6057"/>
    <w:rsid w:val="63EE401A"/>
    <w:rsid w:val="64CE03EA"/>
    <w:rsid w:val="650F34B8"/>
    <w:rsid w:val="652D6C36"/>
    <w:rsid w:val="65654A26"/>
    <w:rsid w:val="659A3CC4"/>
    <w:rsid w:val="664A1B46"/>
    <w:rsid w:val="6656320D"/>
    <w:rsid w:val="670F25C1"/>
    <w:rsid w:val="67140F50"/>
    <w:rsid w:val="676B2CB8"/>
    <w:rsid w:val="677D43F4"/>
    <w:rsid w:val="67D20ED5"/>
    <w:rsid w:val="67E608A5"/>
    <w:rsid w:val="6844166B"/>
    <w:rsid w:val="68BB210F"/>
    <w:rsid w:val="691C2321"/>
    <w:rsid w:val="6A001C05"/>
    <w:rsid w:val="6A030D2B"/>
    <w:rsid w:val="6A0A1BB7"/>
    <w:rsid w:val="6A1B6E2F"/>
    <w:rsid w:val="6A445C5B"/>
    <w:rsid w:val="6A74675B"/>
    <w:rsid w:val="6AA27385"/>
    <w:rsid w:val="6AD31DDD"/>
    <w:rsid w:val="6AE71B19"/>
    <w:rsid w:val="6B7F054C"/>
    <w:rsid w:val="6BB20334"/>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8003A8"/>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1F4D69"/>
    <w:rsid w:val="77404E11"/>
    <w:rsid w:val="776670E2"/>
    <w:rsid w:val="7793611A"/>
    <w:rsid w:val="77AA059A"/>
    <w:rsid w:val="77B66CA2"/>
    <w:rsid w:val="77C425FC"/>
    <w:rsid w:val="78506B0A"/>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2021-06-18T05:54:34Z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