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8C751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税法复习资料</w:t>
      </w:r>
    </w:p>
    <w:p w14:paraId="621076E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1、请问什么是税收负担？请问税收负担转嫁由哪些方式？</w:t>
      </w:r>
    </w:p>
    <w:p w14:paraId="04E0B545">
      <w:pPr>
        <w:rPr>
          <w:rFonts w:hint="eastAsia"/>
          <w:lang w:val="en-US" w:eastAsia="zh-CN"/>
        </w:rPr>
      </w:pPr>
    </w:p>
    <w:p w14:paraId="7A29EA4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、宁波某农产品加工企业为一般纳税人，位于海曙区，2025年9月份发生以下经济业务：（1）本月销售玉米、面粉取得不含税销售额220万元，为其他单位加工粮食取得不含税加工费收入14万元。（2）从农民手中购进稻谷，收购凭证上注明的收购价款为25万元；（3）从粮食收购部门购进小麦，取得的增值税专用发票上注明的增值税税款为2.5万元，购进的农产品均已验收入库；（4）清理出一批霉烂变质的杂粮（该杂粮用于制作杂粮馒头），经核实该批杂粮不含税的购进价款6万元，进项税额已经抵扣；（5）外购钢材20吨，已验收入库，取得的专用发票上注明的价款8万元，税款为1.04万元，本月份将该批钢材移送本厂粮食仓库的在建工程；（6）购进粮食加工设备一台，增值税专用发票上注明价款100万元、税款13万元，用于技术改造。（7）外购水果一批作为国庆福利发给员工，取得增值税专用发票，价款2万元，税款0.26万元。请问该加工企业9月份：</w:t>
      </w:r>
    </w:p>
    <w:p w14:paraId="292A1D5D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是否需要缴纳增值税？</w:t>
      </w:r>
    </w:p>
    <w:p w14:paraId="6D37588E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应纳多少增值税？</w:t>
      </w:r>
    </w:p>
    <w:p w14:paraId="4547744F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是否需要缴纳城建税和教育费附加？</w:t>
      </w:r>
    </w:p>
    <w:p w14:paraId="12CD3BE9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应分别缴纳城建税和教育费附加多少？</w:t>
      </w:r>
    </w:p>
    <w:p w14:paraId="32A784DC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（要求写出计算分析过程，</w:t>
      </w:r>
    </w:p>
    <w:p w14:paraId="374B54C1">
      <w:pPr>
        <w:rPr>
          <w:rFonts w:hint="eastAsia"/>
          <w:lang w:val="en-US" w:eastAsia="zh-CN"/>
        </w:rPr>
      </w:pPr>
    </w:p>
    <w:p w14:paraId="37666784">
      <w:pPr>
        <w:rPr>
          <w:rFonts w:hint="eastAsia"/>
          <w:lang w:val="en-US" w:eastAsia="zh-CN"/>
        </w:rPr>
      </w:pPr>
    </w:p>
    <w:p w14:paraId="2DCC412E">
      <w:pPr>
        <w:rPr>
          <w:rFonts w:hint="eastAsia"/>
          <w:lang w:val="en-US" w:eastAsia="zh-CN"/>
        </w:rPr>
      </w:pPr>
    </w:p>
    <w:p w14:paraId="2C828FE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、宁波某物流公司2024年占地共100000平方米，其中，堆场仓储占地40000平方米，仓库库房占地20000平方米，企业内职工幼儿园占地10000平方米，厂区绿地面积为15000平方米；另外，企业出租面积为5000平方米，其它占地10000平方米。该企业用地地处四类地段，年城镇土地使用税的标准为10元/平方米。</w:t>
      </w:r>
    </w:p>
    <w:p w14:paraId="3CC4BF4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2024年1月1日的房产原值为10000万元；3月1日将其中原值为1000万元的房产出租给某承包商经营食堂，月租金4万元（不含增值税），租期3年；6月1日，将房屋价值500万元的加油站对外承包，承包月租金1万元（不含增值税），承包期2年；当地政府规定允许按房产原值减除30%后的余值计税。请问该物流公司2024年度应纳土地使用税和房产税分别是多少？</w:t>
      </w:r>
    </w:p>
    <w:p w14:paraId="2E234702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（要求写出计算分析过程</w:t>
      </w:r>
    </w:p>
    <w:p w14:paraId="75CCF82F">
      <w:pPr>
        <w:rPr>
          <w:rFonts w:hint="eastAsia"/>
          <w:lang w:val="en-US" w:eastAsia="zh-CN"/>
        </w:rPr>
      </w:pPr>
    </w:p>
    <w:p w14:paraId="4B66651E">
      <w:pPr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答案</w:t>
      </w:r>
    </w:p>
    <w:p w14:paraId="1228B1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1、</w:t>
      </w:r>
      <w:r>
        <w:rPr>
          <w:rFonts w:hint="default"/>
          <w:lang w:val="en-US" w:eastAsia="zh-CN"/>
        </w:rPr>
        <w:t>税收负担是指纳税人因履行纳税义务而承受的经济负担。</w:t>
      </w:r>
    </w:p>
    <w:p w14:paraId="1F1CBA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税收负担转嫁的四种核心方式是前转（顺转）、后转（逆转）、消转（税收转化）和税收资本化（资本还原）</w:t>
      </w:r>
      <w:r>
        <w:rPr>
          <w:rFonts w:hint="eastAsia"/>
          <w:lang w:val="en-US" w:eastAsia="zh-CN"/>
        </w:rPr>
        <w:t>。</w:t>
      </w:r>
      <w:r>
        <w:rPr>
          <w:rFonts w:hint="default"/>
          <w:lang w:val="en-US" w:eastAsia="zh-CN"/>
        </w:rPr>
        <w:t>前转（顺转）</w:t>
      </w:r>
      <w:r>
        <w:rPr>
          <w:rFonts w:hint="eastAsia"/>
          <w:lang w:val="en-US" w:eastAsia="zh-CN"/>
        </w:rPr>
        <w:t>是</w:t>
      </w:r>
      <w:r>
        <w:rPr>
          <w:rFonts w:hint="default"/>
          <w:lang w:val="en-US" w:eastAsia="zh-CN"/>
        </w:rPr>
        <w:t>纳税人通过提高商品或服务售价实现转嫁</w:t>
      </w:r>
      <w:r>
        <w:rPr>
          <w:rFonts w:hint="eastAsia"/>
          <w:lang w:val="en-US" w:eastAsia="zh-CN"/>
        </w:rPr>
        <w:t>。</w:t>
      </w:r>
      <w:r>
        <w:rPr>
          <w:rFonts w:hint="default"/>
          <w:lang w:val="en-US" w:eastAsia="zh-CN"/>
        </w:rPr>
        <w:t>后转（逆转）</w:t>
      </w:r>
      <w:r>
        <w:rPr>
          <w:rFonts w:hint="eastAsia"/>
          <w:lang w:val="en-US" w:eastAsia="zh-CN"/>
        </w:rPr>
        <w:t>是纳税人</w:t>
      </w:r>
      <w:r>
        <w:rPr>
          <w:rFonts w:hint="default"/>
          <w:lang w:val="en-US" w:eastAsia="zh-CN"/>
        </w:rPr>
        <w:t>通过压低生产要素成本实现转嫁。消转（税收转化）</w:t>
      </w:r>
      <w:r>
        <w:rPr>
          <w:rFonts w:hint="eastAsia"/>
          <w:lang w:val="en-US" w:eastAsia="zh-CN"/>
        </w:rPr>
        <w:t>是纳税人</w:t>
      </w:r>
      <w:r>
        <w:rPr>
          <w:rFonts w:hint="default"/>
          <w:lang w:val="en-US" w:eastAsia="zh-CN"/>
        </w:rPr>
        <w:t>通过内部优化消化税负。税收资本化</w:t>
      </w:r>
      <w:r>
        <w:rPr>
          <w:rFonts w:hint="eastAsia"/>
          <w:lang w:val="en-US" w:eastAsia="zh-CN"/>
        </w:rPr>
        <w:t>是纳税人</w:t>
      </w:r>
      <w:r>
        <w:rPr>
          <w:rFonts w:hint="default"/>
          <w:lang w:val="en-US" w:eastAsia="zh-CN"/>
        </w:rPr>
        <w:t>通过折现未来税款实现转嫁。</w:t>
      </w:r>
    </w:p>
    <w:p w14:paraId="2E4FE6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</w:p>
    <w:p w14:paraId="49D7F1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/>
          <w:lang w:val="en-US" w:eastAsia="zh-CN"/>
        </w:rPr>
        <w:t>2、</w:t>
      </w:r>
      <w:r>
        <w:rPr>
          <w:rFonts w:hint="eastAsia" w:ascii="Times New Roman" w:hAnsi="Times New Roman" w:eastAsia="宋体" w:cs="Times New Roman"/>
          <w:lang w:val="en-US" w:eastAsia="zh-CN"/>
        </w:rPr>
        <w:t>分析：该加工企业为一般纳税人，</w:t>
      </w:r>
      <w:r>
        <w:rPr>
          <w:rFonts w:hint="default" w:ascii="Times New Roman" w:hAnsi="Times New Roman" w:eastAsia="宋体" w:cs="Times New Roman"/>
          <w:lang w:val="en-US" w:eastAsia="zh-CN"/>
        </w:rPr>
        <w:t>20</w:t>
      </w:r>
      <w:r>
        <w:rPr>
          <w:rFonts w:hint="eastAsia" w:ascii="Times New Roman" w:hAnsi="Times New Roman" w:eastAsia="宋体" w:cs="Times New Roman"/>
          <w:lang w:val="en-US" w:eastAsia="zh-CN"/>
        </w:rPr>
        <w:t>24年9月份销售玉米、面粉，为其他单位加工粮食，都属于增值税的征税范围，应纳的增值税。</w:t>
      </w:r>
    </w:p>
    <w:p w14:paraId="7C97E6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销售额为粮油销售收入2</w:t>
      </w:r>
      <w:r>
        <w:rPr>
          <w:rFonts w:hint="default" w:ascii="Times New Roman" w:hAnsi="Times New Roman" w:eastAsia="宋体" w:cs="Times New Roman"/>
          <w:lang w:val="en-US" w:eastAsia="zh-CN"/>
        </w:rPr>
        <w:t>20</w:t>
      </w:r>
      <w:r>
        <w:rPr>
          <w:rFonts w:hint="eastAsia" w:ascii="Times New Roman" w:hAnsi="Times New Roman" w:eastAsia="宋体" w:cs="Times New Roman"/>
          <w:lang w:val="en-US" w:eastAsia="zh-CN"/>
        </w:rPr>
        <w:t>万元，加工费1</w:t>
      </w:r>
      <w:r>
        <w:rPr>
          <w:rFonts w:hint="default" w:ascii="Times New Roman" w:hAnsi="Times New Roman" w:eastAsia="宋体" w:cs="Times New Roman"/>
          <w:lang w:val="en-US" w:eastAsia="zh-CN"/>
        </w:rPr>
        <w:t>4</w:t>
      </w:r>
      <w:r>
        <w:rPr>
          <w:rFonts w:hint="eastAsia" w:ascii="Times New Roman" w:hAnsi="Times New Roman" w:eastAsia="宋体" w:cs="Times New Roman"/>
          <w:lang w:val="en-US" w:eastAsia="zh-CN"/>
        </w:rPr>
        <w:t>万元；而粮油税率为9</w:t>
      </w:r>
      <w:r>
        <w:rPr>
          <w:rFonts w:hint="default" w:ascii="Times New Roman" w:hAnsi="Times New Roman" w:eastAsia="宋体" w:cs="Times New Roman"/>
          <w:lang w:val="en-US" w:eastAsia="zh-CN"/>
        </w:rPr>
        <w:t>%</w:t>
      </w:r>
      <w:r>
        <w:rPr>
          <w:rFonts w:hint="eastAsia" w:ascii="Times New Roman" w:hAnsi="Times New Roman" w:eastAsia="宋体" w:cs="Times New Roman"/>
          <w:lang w:val="en-US" w:eastAsia="zh-CN"/>
        </w:rPr>
        <w:t>，加工费税率为13</w:t>
      </w:r>
      <w:r>
        <w:rPr>
          <w:rFonts w:hint="default" w:ascii="Times New Roman" w:hAnsi="Times New Roman" w:eastAsia="宋体" w:cs="Times New Roman"/>
          <w:lang w:val="en-US" w:eastAsia="zh-CN"/>
        </w:rPr>
        <w:t>%</w:t>
      </w:r>
      <w:r>
        <w:rPr>
          <w:rFonts w:hint="eastAsia" w:ascii="Times New Roman" w:hAnsi="Times New Roman" w:eastAsia="宋体" w:cs="Times New Roman"/>
          <w:lang w:val="en-US" w:eastAsia="zh-CN"/>
        </w:rPr>
        <w:t>，所以，销项税额为21</w:t>
      </w:r>
      <w:r>
        <w:rPr>
          <w:rFonts w:hint="default" w:ascii="Times New Roman" w:hAnsi="Times New Roman" w:eastAsia="宋体" w:cs="Times New Roman"/>
          <w:lang w:val="en-US" w:eastAsia="zh-CN"/>
        </w:rPr>
        <w:t>.</w:t>
      </w:r>
      <w:r>
        <w:rPr>
          <w:rFonts w:hint="eastAsia" w:ascii="Times New Roman" w:hAnsi="Times New Roman" w:eastAsia="宋体" w:cs="Times New Roman"/>
          <w:lang w:val="en-US" w:eastAsia="zh-CN"/>
        </w:rPr>
        <w:t>62万元，即2</w:t>
      </w:r>
      <w:r>
        <w:rPr>
          <w:rFonts w:hint="default" w:ascii="Times New Roman" w:hAnsi="Times New Roman" w:eastAsia="宋体" w:cs="Times New Roman"/>
          <w:lang w:val="en-US" w:eastAsia="zh-CN"/>
        </w:rPr>
        <w:t>20</w:t>
      </w:r>
      <w:r>
        <w:rPr>
          <w:rFonts w:hint="eastAsia" w:ascii="Times New Roman" w:hAnsi="Times New Roman" w:eastAsia="宋体" w:cs="Times New Roman"/>
          <w:lang w:val="en-US" w:eastAsia="zh-CN"/>
        </w:rPr>
        <w:t>×9</w:t>
      </w:r>
      <w:r>
        <w:rPr>
          <w:rFonts w:hint="default" w:ascii="Times New Roman" w:hAnsi="Times New Roman" w:eastAsia="宋体" w:cs="Times New Roman"/>
          <w:lang w:val="en-US" w:eastAsia="zh-CN"/>
        </w:rPr>
        <w:t>%+</w:t>
      </w:r>
      <w:r>
        <w:rPr>
          <w:rFonts w:hint="eastAsia" w:ascii="Times New Roman" w:hAnsi="Times New Roman" w:eastAsia="宋体" w:cs="Times New Roman"/>
          <w:lang w:val="en-US" w:eastAsia="zh-CN"/>
        </w:rPr>
        <w:t>1</w:t>
      </w:r>
      <w:r>
        <w:rPr>
          <w:rFonts w:hint="default" w:ascii="Times New Roman" w:hAnsi="Times New Roman" w:eastAsia="宋体" w:cs="Times New Roman"/>
          <w:lang w:val="en-US" w:eastAsia="zh-CN"/>
        </w:rPr>
        <w:t>4</w:t>
      </w:r>
      <w:r>
        <w:rPr>
          <w:rFonts w:hint="eastAsia" w:ascii="Times New Roman" w:hAnsi="Times New Roman" w:eastAsia="宋体" w:cs="Times New Roman"/>
          <w:lang w:val="en-US" w:eastAsia="zh-CN"/>
        </w:rPr>
        <w:t>×</w:t>
      </w:r>
      <w:r>
        <w:rPr>
          <w:rFonts w:hint="default" w:ascii="Times New Roman" w:hAnsi="Times New Roman" w:eastAsia="宋体" w:cs="Times New Roman"/>
          <w:lang w:val="en-US" w:eastAsia="zh-CN"/>
        </w:rPr>
        <w:t>1</w:t>
      </w:r>
      <w:r>
        <w:rPr>
          <w:rFonts w:hint="eastAsia" w:ascii="Times New Roman" w:hAnsi="Times New Roman" w:eastAsia="宋体" w:cs="Times New Roman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lang w:val="en-US" w:eastAsia="zh-CN"/>
        </w:rPr>
        <w:t>%=</w:t>
      </w:r>
      <w:r>
        <w:rPr>
          <w:rFonts w:hint="eastAsia" w:ascii="Times New Roman" w:hAnsi="Times New Roman" w:eastAsia="宋体" w:cs="Times New Roman"/>
          <w:lang w:val="en-US" w:eastAsia="zh-CN"/>
        </w:rPr>
        <w:t>21.62万元。</w:t>
      </w:r>
    </w:p>
    <w:p w14:paraId="490941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进项税额的确定：</w:t>
      </w:r>
    </w:p>
    <w:p w14:paraId="1CE9EE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从农民手中购进玉米，收购凭证上注明的收购价款为25万元，可以计算进项税额，即25×9</w:t>
      </w:r>
      <w:r>
        <w:rPr>
          <w:rFonts w:hint="default" w:ascii="Times New Roman" w:hAnsi="Times New Roman" w:eastAsia="宋体" w:cs="Times New Roman"/>
          <w:lang w:val="en-US" w:eastAsia="zh-CN"/>
        </w:rPr>
        <w:t>%</w:t>
      </w:r>
      <w:r>
        <w:rPr>
          <w:rFonts w:hint="eastAsia" w:ascii="Times New Roman" w:hAnsi="Times New Roman" w:eastAsia="宋体" w:cs="Times New Roman"/>
          <w:lang w:val="en-US" w:eastAsia="zh-CN"/>
        </w:rPr>
        <w:t>=2.25万元；</w:t>
      </w:r>
    </w:p>
    <w:p w14:paraId="68A5E1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从粮食收购部门购进小麦，取得的增值税专用发票上注明的增值税税款为2</w:t>
      </w:r>
      <w:r>
        <w:rPr>
          <w:rFonts w:hint="default" w:ascii="Times New Roman" w:hAnsi="Times New Roman" w:eastAsia="宋体" w:cs="Times New Roman"/>
          <w:lang w:val="en-US" w:eastAsia="zh-CN"/>
        </w:rPr>
        <w:t>.5</w:t>
      </w:r>
      <w:r>
        <w:rPr>
          <w:rFonts w:hint="eastAsia" w:ascii="Times New Roman" w:hAnsi="Times New Roman" w:eastAsia="宋体" w:cs="Times New Roman"/>
          <w:lang w:val="en-US" w:eastAsia="zh-CN"/>
        </w:rPr>
        <w:t>万元，可以抵扣进项税额；</w:t>
      </w:r>
    </w:p>
    <w:p w14:paraId="3F8AA9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清理出一批霉烂变质的杂粮，经核实该批杂粮不含税的购进价款</w:t>
      </w:r>
      <w:r>
        <w:rPr>
          <w:rFonts w:hint="default" w:ascii="Times New Roman" w:hAnsi="Times New Roman" w:eastAsia="宋体" w:cs="Times New Roman"/>
          <w:lang w:val="en-US" w:eastAsia="zh-CN"/>
        </w:rPr>
        <w:t>6</w:t>
      </w:r>
      <w:r>
        <w:rPr>
          <w:rFonts w:hint="eastAsia" w:ascii="Times New Roman" w:hAnsi="Times New Roman" w:eastAsia="宋体" w:cs="Times New Roman"/>
          <w:lang w:val="en-US" w:eastAsia="zh-CN"/>
        </w:rPr>
        <w:t>万元，进项税额已经抵扣，非正常损失不能抵扣进项税额，需转出进项税额</w:t>
      </w:r>
      <w:r>
        <w:rPr>
          <w:rFonts w:hint="default" w:ascii="Times New Roman" w:hAnsi="Times New Roman" w:eastAsia="宋体" w:cs="Times New Roman"/>
          <w:lang w:val="en-US" w:eastAsia="zh-CN"/>
        </w:rPr>
        <w:t>0.</w:t>
      </w:r>
      <w:r>
        <w:rPr>
          <w:rFonts w:hint="eastAsia" w:ascii="Times New Roman" w:hAnsi="Times New Roman" w:eastAsia="宋体" w:cs="Times New Roman"/>
          <w:lang w:val="en-US" w:eastAsia="zh-CN"/>
        </w:rPr>
        <w:t>6万元，即</w:t>
      </w:r>
      <w:r>
        <w:rPr>
          <w:rFonts w:hint="default" w:ascii="Times New Roman" w:hAnsi="Times New Roman" w:eastAsia="宋体" w:cs="Times New Roman"/>
          <w:lang w:val="en-US" w:eastAsia="zh-CN"/>
        </w:rPr>
        <w:t>6</w:t>
      </w:r>
      <w:r>
        <w:rPr>
          <w:rFonts w:hint="eastAsia" w:ascii="Times New Roman" w:hAnsi="Times New Roman" w:eastAsia="宋体" w:cs="Times New Roman"/>
          <w:lang w:val="en-US" w:eastAsia="zh-CN"/>
        </w:rPr>
        <w:t>×</w:t>
      </w:r>
      <w:r>
        <w:rPr>
          <w:rFonts w:hint="default" w:ascii="Times New Roman" w:hAnsi="Times New Roman" w:eastAsia="宋体" w:cs="Times New Roman"/>
          <w:lang w:val="en-US" w:eastAsia="zh-CN"/>
        </w:rPr>
        <w:t>1</w:t>
      </w:r>
      <w:r>
        <w:rPr>
          <w:rFonts w:hint="eastAsia" w:ascii="Times New Roman" w:hAnsi="Times New Roman" w:eastAsia="宋体" w:cs="Times New Roman"/>
          <w:lang w:val="en-US" w:eastAsia="zh-CN"/>
        </w:rPr>
        <w:t>0</w:t>
      </w:r>
      <w:r>
        <w:rPr>
          <w:rFonts w:hint="default" w:ascii="Times New Roman" w:hAnsi="Times New Roman" w:eastAsia="宋体" w:cs="Times New Roman"/>
          <w:lang w:val="en-US" w:eastAsia="zh-CN"/>
        </w:rPr>
        <w:t>%</w:t>
      </w:r>
      <w:r>
        <w:rPr>
          <w:rFonts w:hint="eastAsia" w:ascii="Times New Roman" w:hAnsi="Times New Roman" w:eastAsia="宋体" w:cs="Times New Roman"/>
          <w:lang w:val="en-US" w:eastAsia="zh-CN"/>
        </w:rPr>
        <w:t>；</w:t>
      </w:r>
    </w:p>
    <w:p w14:paraId="5C98A0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外购钢材</w:t>
      </w:r>
      <w:r>
        <w:rPr>
          <w:rFonts w:hint="default" w:ascii="Times New Roman" w:hAnsi="Times New Roman" w:eastAsia="宋体" w:cs="Times New Roman"/>
          <w:lang w:val="en-US" w:eastAsia="zh-CN"/>
        </w:rPr>
        <w:t>20</w:t>
      </w:r>
      <w:r>
        <w:rPr>
          <w:rFonts w:hint="eastAsia" w:ascii="Times New Roman" w:hAnsi="Times New Roman" w:eastAsia="宋体" w:cs="Times New Roman"/>
          <w:lang w:val="en-US" w:eastAsia="zh-CN"/>
        </w:rPr>
        <w:t>吨，取得的专用发票上注明的价款</w:t>
      </w:r>
      <w:r>
        <w:rPr>
          <w:rFonts w:hint="default" w:ascii="Times New Roman" w:hAnsi="Times New Roman" w:eastAsia="宋体" w:cs="Times New Roman"/>
          <w:lang w:val="en-US" w:eastAsia="zh-CN"/>
        </w:rPr>
        <w:t>8</w:t>
      </w:r>
      <w:r>
        <w:rPr>
          <w:rFonts w:hint="eastAsia" w:ascii="Times New Roman" w:hAnsi="Times New Roman" w:eastAsia="宋体" w:cs="Times New Roman"/>
          <w:lang w:val="en-US" w:eastAsia="zh-CN"/>
        </w:rPr>
        <w:t>万元，税款为</w:t>
      </w:r>
      <w:r>
        <w:rPr>
          <w:rFonts w:hint="default" w:ascii="Times New Roman" w:hAnsi="Times New Roman" w:eastAsia="宋体" w:cs="Times New Roman"/>
          <w:lang w:val="en-US" w:eastAsia="zh-CN"/>
        </w:rPr>
        <w:t>1.36</w:t>
      </w:r>
      <w:r>
        <w:rPr>
          <w:rFonts w:hint="eastAsia" w:ascii="Times New Roman" w:hAnsi="Times New Roman" w:eastAsia="宋体" w:cs="Times New Roman"/>
          <w:lang w:val="en-US" w:eastAsia="zh-CN"/>
        </w:rPr>
        <w:t>万元，本月份将该批钢材移送本厂粮食仓库的在建工程，用于非应税项目不能抵扣；</w:t>
      </w:r>
    </w:p>
    <w:p w14:paraId="36FB38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购进设备一台，增值税专用发票上注明价款</w:t>
      </w:r>
      <w:r>
        <w:rPr>
          <w:rFonts w:hint="default" w:ascii="Times New Roman" w:hAnsi="Times New Roman" w:eastAsia="宋体" w:cs="Times New Roman"/>
          <w:lang w:val="en-US" w:eastAsia="zh-CN"/>
        </w:rPr>
        <w:t>100</w:t>
      </w:r>
      <w:r>
        <w:rPr>
          <w:rFonts w:hint="eastAsia" w:ascii="Times New Roman" w:hAnsi="Times New Roman" w:eastAsia="宋体" w:cs="Times New Roman"/>
          <w:lang w:val="en-US" w:eastAsia="zh-CN"/>
        </w:rPr>
        <w:t>万元、税款</w:t>
      </w:r>
      <w:r>
        <w:rPr>
          <w:rFonts w:hint="default" w:ascii="Times New Roman" w:hAnsi="Times New Roman" w:eastAsia="宋体" w:cs="Times New Roman"/>
          <w:lang w:val="en-US" w:eastAsia="zh-CN"/>
        </w:rPr>
        <w:t>1</w:t>
      </w:r>
      <w:r>
        <w:rPr>
          <w:rFonts w:hint="eastAsia" w:ascii="Times New Roman" w:hAnsi="Times New Roman" w:eastAsia="宋体" w:cs="Times New Roman"/>
          <w:lang w:val="en-US" w:eastAsia="zh-CN"/>
        </w:rPr>
        <w:t>3万元，用于技术改造，可以抵扣。</w:t>
      </w:r>
    </w:p>
    <w:p w14:paraId="7223C8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外购水果用于国庆福利发放不抵扣税。</w:t>
      </w:r>
    </w:p>
    <w:p w14:paraId="30461E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进项税额</w:t>
      </w:r>
      <w:r>
        <w:rPr>
          <w:rFonts w:hint="default" w:ascii="Times New Roman" w:hAnsi="Times New Roman" w:eastAsia="宋体" w:cs="Times New Roman"/>
          <w:lang w:val="en-US" w:eastAsia="zh-CN"/>
        </w:rPr>
        <w:t>=</w:t>
      </w:r>
      <w:r>
        <w:rPr>
          <w:rFonts w:hint="eastAsia" w:ascii="Times New Roman" w:hAnsi="Times New Roman" w:eastAsia="宋体" w:cs="Times New Roman"/>
          <w:lang w:val="en-US" w:eastAsia="zh-CN"/>
        </w:rPr>
        <w:t>2.25</w:t>
      </w:r>
      <w:r>
        <w:rPr>
          <w:rFonts w:hint="default" w:ascii="Times New Roman" w:hAnsi="Times New Roman" w:eastAsia="宋体" w:cs="Times New Roman"/>
          <w:lang w:val="en-US" w:eastAsia="zh-CN"/>
        </w:rPr>
        <w:t>+</w:t>
      </w:r>
      <w:r>
        <w:rPr>
          <w:rFonts w:hint="eastAsia" w:ascii="Times New Roman" w:hAnsi="Times New Roman" w:eastAsia="宋体" w:cs="Times New Roman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lang w:val="en-US" w:eastAsia="zh-CN"/>
        </w:rPr>
        <w:t>.5-</w:t>
      </w:r>
      <w:r>
        <w:rPr>
          <w:rFonts w:hint="eastAsia" w:ascii="Times New Roman" w:hAnsi="Times New Roman" w:eastAsia="宋体" w:cs="Times New Roman"/>
          <w:lang w:val="en-US" w:eastAsia="zh-CN"/>
        </w:rPr>
        <w:t>0.6</w:t>
      </w:r>
      <w:r>
        <w:rPr>
          <w:rFonts w:hint="default" w:ascii="Times New Roman" w:hAnsi="Times New Roman" w:eastAsia="宋体" w:cs="Times New Roman"/>
          <w:lang w:val="en-US" w:eastAsia="zh-CN"/>
        </w:rPr>
        <w:t>+1</w:t>
      </w:r>
      <w:r>
        <w:rPr>
          <w:rFonts w:hint="eastAsia" w:ascii="Times New Roman" w:hAnsi="Times New Roman" w:eastAsia="宋体" w:cs="Times New Roman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lang w:val="en-US" w:eastAsia="zh-CN"/>
        </w:rPr>
        <w:t>=</w:t>
      </w:r>
      <w:r>
        <w:rPr>
          <w:rFonts w:hint="eastAsia" w:ascii="Times New Roman" w:hAnsi="Times New Roman" w:eastAsia="宋体" w:cs="Times New Roman"/>
          <w:lang w:val="en-US" w:eastAsia="zh-CN"/>
        </w:rPr>
        <w:t>17.15万元。</w:t>
      </w:r>
    </w:p>
    <w:p w14:paraId="4BDC7A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该加工企业9月份应纳的增值税</w:t>
      </w:r>
      <w:r>
        <w:rPr>
          <w:rFonts w:hint="default" w:ascii="Times New Roman" w:hAnsi="Times New Roman" w:eastAsia="宋体" w:cs="Times New Roman"/>
          <w:lang w:val="en-US" w:eastAsia="zh-CN"/>
        </w:rPr>
        <w:t>=</w:t>
      </w:r>
      <w:r>
        <w:rPr>
          <w:rFonts w:hint="eastAsia" w:ascii="Times New Roman" w:hAnsi="Times New Roman" w:eastAsia="宋体" w:cs="Times New Roman"/>
          <w:lang w:val="en-US" w:eastAsia="zh-CN"/>
        </w:rPr>
        <w:t>销项税额</w:t>
      </w:r>
      <w:r>
        <w:rPr>
          <w:rFonts w:hint="default" w:ascii="Times New Roman" w:hAnsi="Times New Roman" w:eastAsia="宋体" w:cs="Times New Roman"/>
          <w:lang w:val="en-US" w:eastAsia="zh-CN"/>
        </w:rPr>
        <w:t>-</w:t>
      </w:r>
      <w:r>
        <w:rPr>
          <w:rFonts w:hint="eastAsia" w:ascii="Times New Roman" w:hAnsi="Times New Roman" w:eastAsia="宋体" w:cs="Times New Roman"/>
          <w:lang w:val="en-US" w:eastAsia="zh-CN"/>
        </w:rPr>
        <w:t>进项税额</w:t>
      </w:r>
      <w:r>
        <w:rPr>
          <w:rFonts w:hint="default" w:ascii="Times New Roman" w:hAnsi="Times New Roman" w:eastAsia="宋体" w:cs="Times New Roman"/>
          <w:lang w:val="en-US" w:eastAsia="zh-CN"/>
        </w:rPr>
        <w:t>=</w:t>
      </w:r>
      <w:r>
        <w:rPr>
          <w:rFonts w:hint="eastAsia" w:ascii="Times New Roman" w:hAnsi="Times New Roman" w:eastAsia="宋体" w:cs="Times New Roman"/>
          <w:lang w:val="en-US" w:eastAsia="zh-CN"/>
        </w:rPr>
        <w:t>21.62万元</w:t>
      </w:r>
      <w:r>
        <w:rPr>
          <w:rFonts w:hint="default" w:ascii="Times New Roman" w:hAnsi="Times New Roman" w:eastAsia="宋体" w:cs="Times New Roman"/>
          <w:lang w:val="en-US" w:eastAsia="zh-CN"/>
        </w:rPr>
        <w:t>-</w:t>
      </w:r>
      <w:r>
        <w:rPr>
          <w:rFonts w:hint="eastAsia" w:ascii="Times New Roman" w:hAnsi="Times New Roman" w:eastAsia="宋体" w:cs="Times New Roman"/>
          <w:lang w:val="en-US" w:eastAsia="zh-CN"/>
        </w:rPr>
        <w:t>17.15万元</w:t>
      </w:r>
      <w:r>
        <w:rPr>
          <w:rFonts w:hint="default" w:ascii="Times New Roman" w:hAnsi="Times New Roman" w:eastAsia="宋体" w:cs="Times New Roman"/>
          <w:lang w:val="en-US" w:eastAsia="zh-CN"/>
        </w:rPr>
        <w:t>=</w:t>
      </w:r>
      <w:r>
        <w:rPr>
          <w:rFonts w:hint="eastAsia" w:ascii="Times New Roman" w:hAnsi="Times New Roman" w:eastAsia="宋体" w:cs="Times New Roman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lang w:val="en-US" w:eastAsia="zh-CN"/>
        </w:rPr>
        <w:t>.</w:t>
      </w:r>
      <w:r>
        <w:rPr>
          <w:rFonts w:hint="eastAsia" w:ascii="Times New Roman" w:hAnsi="Times New Roman" w:eastAsia="宋体" w:cs="Times New Roman"/>
          <w:lang w:val="en-US" w:eastAsia="zh-CN"/>
        </w:rPr>
        <w:t>47万元。</w:t>
      </w:r>
    </w:p>
    <w:p w14:paraId="75A6C9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即当期应该缴纳增值税4</w:t>
      </w:r>
      <w:r>
        <w:rPr>
          <w:rFonts w:hint="default" w:ascii="Times New Roman" w:hAnsi="Times New Roman" w:eastAsia="宋体" w:cs="Times New Roman"/>
          <w:lang w:val="en-US" w:eastAsia="zh-CN"/>
        </w:rPr>
        <w:t>.</w:t>
      </w:r>
      <w:r>
        <w:rPr>
          <w:rFonts w:hint="eastAsia" w:ascii="Times New Roman" w:hAnsi="Times New Roman" w:eastAsia="宋体" w:cs="Times New Roman"/>
          <w:lang w:val="en-US" w:eastAsia="zh-CN"/>
        </w:rPr>
        <w:t>47万元。</w:t>
      </w:r>
    </w:p>
    <w:p w14:paraId="077514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由于该公司有增值税纳税义务，所以需要缴纳城市建设维税和教育费附加</w:t>
      </w:r>
    </w:p>
    <w:p w14:paraId="106C59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由于公司位于海曙区，所以适用城建税税率为7</w:t>
      </w:r>
      <w:r>
        <w:rPr>
          <w:rFonts w:hint="default" w:ascii="Times New Roman" w:hAnsi="Times New Roman" w:eastAsia="宋体" w:cs="Times New Roman"/>
          <w:lang w:val="en-US" w:eastAsia="zh-CN"/>
        </w:rPr>
        <w:t>%</w:t>
      </w:r>
      <w:r>
        <w:rPr>
          <w:rFonts w:hint="eastAsia" w:ascii="Times New Roman" w:hAnsi="Times New Roman" w:eastAsia="宋体" w:cs="Times New Roman"/>
          <w:lang w:val="en-US" w:eastAsia="zh-CN"/>
        </w:rPr>
        <w:t>。</w:t>
      </w:r>
    </w:p>
    <w:p w14:paraId="36D072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应纳城市建设维税</w:t>
      </w:r>
      <w:r>
        <w:rPr>
          <w:rFonts w:hint="default" w:ascii="Times New Roman" w:hAnsi="Times New Roman" w:eastAsia="宋体" w:cs="Times New Roman"/>
          <w:lang w:val="en-US" w:eastAsia="zh-CN"/>
        </w:rPr>
        <w:t>=</w:t>
      </w:r>
      <w:r>
        <w:rPr>
          <w:rFonts w:hint="eastAsia" w:ascii="Times New Roman" w:hAnsi="Times New Roman" w:eastAsia="宋体" w:cs="Times New Roman"/>
          <w:lang w:val="en-US" w:eastAsia="zh-CN"/>
        </w:rPr>
        <w:t>应纳二税税额×税率</w:t>
      </w:r>
      <w:r>
        <w:rPr>
          <w:rFonts w:hint="default" w:ascii="Times New Roman" w:hAnsi="Times New Roman" w:eastAsia="宋体" w:cs="Times New Roman"/>
          <w:lang w:val="en-US" w:eastAsia="zh-CN"/>
        </w:rPr>
        <w:t>=</w:t>
      </w:r>
      <w:r>
        <w:rPr>
          <w:rFonts w:hint="eastAsia" w:ascii="Times New Roman" w:hAnsi="Times New Roman" w:eastAsia="宋体" w:cs="Times New Roman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lang w:val="en-US" w:eastAsia="zh-CN"/>
        </w:rPr>
        <w:t>.</w:t>
      </w:r>
      <w:r>
        <w:rPr>
          <w:rFonts w:hint="eastAsia" w:ascii="Times New Roman" w:hAnsi="Times New Roman" w:eastAsia="宋体" w:cs="Times New Roman"/>
          <w:lang w:val="en-US" w:eastAsia="zh-CN"/>
        </w:rPr>
        <w:t>47万元×7</w:t>
      </w:r>
      <w:r>
        <w:rPr>
          <w:rFonts w:hint="default" w:ascii="Times New Roman" w:hAnsi="Times New Roman" w:eastAsia="宋体" w:cs="Times New Roman"/>
          <w:lang w:val="en-US" w:eastAsia="zh-CN"/>
        </w:rPr>
        <w:t>%=</w:t>
      </w:r>
      <w:r>
        <w:rPr>
          <w:rFonts w:hint="eastAsia" w:ascii="Times New Roman" w:hAnsi="Times New Roman" w:eastAsia="宋体" w:cs="Times New Roman"/>
          <w:lang w:val="en-US" w:eastAsia="zh-CN"/>
        </w:rPr>
        <w:t>0.3129万元</w:t>
      </w:r>
    </w:p>
    <w:p w14:paraId="6B01D1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应纳教育费附加</w:t>
      </w:r>
      <w:r>
        <w:rPr>
          <w:rFonts w:hint="default" w:ascii="Times New Roman" w:hAnsi="Times New Roman" w:eastAsia="宋体" w:cs="Times New Roman"/>
          <w:lang w:val="en-US" w:eastAsia="zh-CN"/>
        </w:rPr>
        <w:t>=</w:t>
      </w:r>
      <w:r>
        <w:rPr>
          <w:rFonts w:hint="eastAsia" w:ascii="Times New Roman" w:hAnsi="Times New Roman" w:eastAsia="宋体" w:cs="Times New Roman"/>
          <w:lang w:val="en-US" w:eastAsia="zh-CN"/>
        </w:rPr>
        <w:t>应纳二税税额×附加率</w:t>
      </w:r>
      <w:r>
        <w:rPr>
          <w:rFonts w:hint="default" w:ascii="Times New Roman" w:hAnsi="Times New Roman" w:eastAsia="宋体" w:cs="Times New Roman"/>
          <w:lang w:val="en-US" w:eastAsia="zh-CN"/>
        </w:rPr>
        <w:t>=</w:t>
      </w:r>
      <w:r>
        <w:rPr>
          <w:rFonts w:hint="eastAsia" w:ascii="Times New Roman" w:hAnsi="Times New Roman" w:eastAsia="宋体" w:cs="Times New Roman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lang w:val="en-US" w:eastAsia="zh-CN"/>
        </w:rPr>
        <w:t>.</w:t>
      </w:r>
      <w:r>
        <w:rPr>
          <w:rFonts w:hint="eastAsia" w:ascii="Times New Roman" w:hAnsi="Times New Roman" w:eastAsia="宋体" w:cs="Times New Roman"/>
          <w:lang w:val="en-US" w:eastAsia="zh-CN"/>
        </w:rPr>
        <w:t>47万元×</w:t>
      </w:r>
      <w:r>
        <w:rPr>
          <w:rFonts w:hint="default" w:ascii="Times New Roman" w:hAnsi="Times New Roman" w:eastAsia="宋体" w:cs="Times New Roman"/>
          <w:lang w:val="en-US" w:eastAsia="zh-CN"/>
        </w:rPr>
        <w:t>3%=</w:t>
      </w:r>
      <w:r>
        <w:rPr>
          <w:rFonts w:hint="eastAsia" w:ascii="Times New Roman" w:hAnsi="Times New Roman" w:eastAsia="宋体" w:cs="Times New Roman"/>
          <w:lang w:val="en-US" w:eastAsia="zh-CN"/>
        </w:rPr>
        <w:t>0.1341万元</w:t>
      </w:r>
    </w:p>
    <w:p w14:paraId="513F2B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</w:p>
    <w:p w14:paraId="2B3440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3</w:t>
      </w:r>
      <w:bookmarkStart w:id="0" w:name="_GoBack"/>
      <w:bookmarkEnd w:id="0"/>
      <w:r>
        <w:rPr>
          <w:rFonts w:hint="eastAsia" w:ascii="Times New Roman" w:hAnsi="Times New Roman" w:eastAsia="宋体" w:cs="Times New Roman"/>
          <w:lang w:val="en-US" w:eastAsia="zh-CN"/>
        </w:rPr>
        <w:t>、分析：</w:t>
      </w:r>
    </w:p>
    <w:p w14:paraId="0601FE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宁波龙星物流公司2024年占地100000平方米属于土地使用税的征税范围，应纳土地使用税。</w:t>
      </w:r>
    </w:p>
    <w:p w14:paraId="727168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其中，企业内职工幼儿园和医院占地10000平方米与其它用地可以区分，可以免税；</w:t>
      </w:r>
    </w:p>
    <w:p w14:paraId="5168D7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厂区绿地面积为15000平方米不属于公共绿化用地，应纳税；</w:t>
      </w:r>
    </w:p>
    <w:p w14:paraId="09A3AE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企业出租5000平方米也不能免税。</w:t>
      </w:r>
    </w:p>
    <w:p w14:paraId="535C2B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应纳土地使用税税额＝计税依据（纳税人实际占用的土地面积）×适用税率=（100000-10000）×10=900000（元）</w:t>
      </w:r>
    </w:p>
    <w:p w14:paraId="0AE24E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即该物流公司2024年应纳土地使用税90万元。（10分）</w:t>
      </w:r>
    </w:p>
    <w:p w14:paraId="6A9023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</w:p>
    <w:p w14:paraId="1A3A6C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该物流公司自用房产、出租房产和承包房产都属于房产税的征税范围，应纳房产税。</w:t>
      </w:r>
    </w:p>
    <w:p w14:paraId="1F6202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出租与承包部分：应纳房产税税额＝租金收入×税率=（4×10+1×7）×12%=5.64（万元）</w:t>
      </w:r>
    </w:p>
    <w:p w14:paraId="002CA0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自用部分：应纳房产税税额＝房屋余值×税率=（10000-1000-500+1000×2/12+500×5/12）×（1-30%）×1.2%=74.55（万元）</w:t>
      </w:r>
    </w:p>
    <w:p w14:paraId="5744AC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即宁波龙星物流公司2024年应纳房产税80.19万元（5.64+74.55）。（15分）</w:t>
      </w:r>
    </w:p>
    <w:p w14:paraId="25EB2A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</w:p>
    <w:p w14:paraId="58E6A335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4578F9"/>
    <w:rsid w:val="2B457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2025-12-12T07:45:00Z</dcterms:created>
  <dc:creator>黄岩育华李才聪</dc:creator>
  <cp:lastModifiedBy>黄岩育华李才聪</cp:lastModifiedBy>
  <dcterms:modified xsi:type="dcterms:W3CDTF">2025-12-12T07:50:35Z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432DE6BA0E924EC1960E7801FC791E0B_11</vt:lpwstr>
  </property>
  <property fmtid="{D5CDD505-2E9C-101B-9397-08002B2CF9AE}" pid="4" name="KSOTemplateDocerSaveRecord">
    <vt:lpwstr>eyJoZGlkIjoiZmQ4ZTQyZDdmOTI0NjQ5MTBlMjM4MTBkY2Y5N2MwMzYiLCJ1c2VySWQiOiI0NTY2Nzc2NjkifQ==</vt:lpwstr>
  </property>
</Properties>
</file>