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8BD88D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税法复习资料</w:t>
      </w:r>
    </w:p>
    <w:p w14:paraId="75ADA0B4">
      <w:pPr>
        <w:rPr>
          <w:rFonts w:hint="default"/>
          <w:lang w:val="en-US" w:eastAsia="zh-CN"/>
        </w:rPr>
      </w:pPr>
    </w:p>
    <w:p w14:paraId="7F186C50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1请问税制要素有哪些？其中基本要素是哪几个要素？</w:t>
      </w:r>
    </w:p>
    <w:p w14:paraId="270A80CF">
      <w:pPr>
        <w:rPr>
          <w:rFonts w:hint="eastAsia"/>
          <w:lang w:val="en-US" w:eastAsia="zh-CN"/>
        </w:rPr>
      </w:pPr>
    </w:p>
    <w:p w14:paraId="1DF5C7FF">
      <w:pPr>
        <w:rPr>
          <w:rFonts w:hint="eastAsia"/>
          <w:lang w:val="en-US" w:eastAsia="zh-CN"/>
        </w:rPr>
      </w:pPr>
    </w:p>
    <w:p w14:paraId="2B974E2D">
      <w:pPr>
        <w:rPr>
          <w:rFonts w:hint="eastAsia"/>
          <w:lang w:val="en-US" w:eastAsia="zh-CN"/>
        </w:rPr>
      </w:pPr>
    </w:p>
    <w:p w14:paraId="01907ECD">
      <w:pPr>
        <w:rPr>
          <w:rFonts w:hint="eastAsia"/>
          <w:lang w:val="en-US" w:eastAsia="zh-CN"/>
        </w:rPr>
      </w:pPr>
    </w:p>
    <w:p w14:paraId="757F8AF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浙江某农产品加工企业为一般纳税人，位于海曙区，2025年10月份发生以下经济业务：（1）本月销售大米、面粉取得不含税销售额200万元，为其他单位加工粮食取得不含税加工费收入20万元。（2）从农民手中购进稻谷，收购凭证上注明的收购价款为15万元；（3）从粮食收购部门购进小麦，取得的增值税专用发票上注明的增值税税款为2.5万元，购进的农产品均已验收入库；（4）清理出一批霉烂变质的杂粮（该杂粮用于制作杂粮馒头），经核实该批杂粮不含税的购进价款6万元，进项税额已经抵扣；（5）外购钢材20吨，已验收入库，取得的专用发票上注明的价款8万元，税款为1.04万元，本月份将该批钢材移送本厂粮食仓库的在建工程；（6）购进粮食加工设备一台，增值税专用发票上注明价款100万元、税款13万元，用于技术改造。（7）外购水产礼盒一批作为国庆福利发给员工，取得增值税专用发票，价款2万元，税款0.26万元。请问该企业10月份：</w:t>
      </w:r>
    </w:p>
    <w:p w14:paraId="3822F9AD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是否需要缴纳增值税？</w:t>
      </w:r>
    </w:p>
    <w:p w14:paraId="7A6FC1E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应纳多少增值税？</w:t>
      </w:r>
    </w:p>
    <w:p w14:paraId="7355EFAA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是否需要缴纳城建税和教育费附加？</w:t>
      </w:r>
    </w:p>
    <w:p w14:paraId="4A977ACB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应分别缴纳城建税和教育费附加多少？</w:t>
      </w:r>
    </w:p>
    <w:p w14:paraId="1E9DFBC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（要求写出计算分析过程，</w:t>
      </w:r>
    </w:p>
    <w:p w14:paraId="0672E2C7">
      <w:pPr>
        <w:rPr>
          <w:rFonts w:hint="eastAsia"/>
          <w:lang w:val="en-US" w:eastAsia="zh-CN"/>
        </w:rPr>
      </w:pPr>
    </w:p>
    <w:p w14:paraId="7A1D5AFF">
      <w:pPr>
        <w:rPr>
          <w:rFonts w:hint="eastAsia"/>
          <w:lang w:val="en-US" w:eastAsia="zh-CN"/>
        </w:rPr>
      </w:pPr>
    </w:p>
    <w:p w14:paraId="55C2123E">
      <w:pPr>
        <w:rPr>
          <w:rFonts w:hint="eastAsia"/>
          <w:lang w:val="en-US" w:eastAsia="zh-CN"/>
        </w:rPr>
      </w:pPr>
    </w:p>
    <w:p w14:paraId="2DE4D16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宁波某物流公司2024年占地共100000平方米，其中，堆场仓储占地40000平方米，仓库库房占地20000平方米，企业内职工幼儿园和医院占地15000平方米，厂区绿地面积为10000平方米；另外，企业出租面积为5000平方米，其它占地10000平方米。该企业用地地处四类地段，年城镇土地使用税的标准为10元/平方米。</w:t>
      </w:r>
    </w:p>
    <w:p w14:paraId="7DB3E53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2024年1月1日的房产原值为10000万元；3月1日将其中原值为500万元的房产出租给某承包商经营食堂，月租金4万元（不含增值税），租期3年；6月1日，将房屋价值500万元的加油站对外承包，承包月租金1万元（不含增值税），承包期2年；当地政府规定允许按房产原值减除30%后的余值计税。请问该物流公司2024年度应纳土地使用税和房产税分别是多少？</w:t>
      </w:r>
    </w:p>
    <w:p w14:paraId="2C56F88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（要求写出计算分析过程</w:t>
      </w:r>
    </w:p>
    <w:p w14:paraId="62C7E177">
      <w:pPr>
        <w:rPr>
          <w:rFonts w:hint="eastAsia"/>
          <w:lang w:val="en-US" w:eastAsia="zh-CN"/>
        </w:rPr>
      </w:pPr>
    </w:p>
    <w:p w14:paraId="48DA8E84">
      <w:pPr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答案</w:t>
      </w:r>
    </w:p>
    <w:p w14:paraId="4075F7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1、</w:t>
      </w:r>
      <w:r>
        <w:rPr>
          <w:rFonts w:hint="default"/>
          <w:lang w:val="en-US" w:eastAsia="zh-CN"/>
        </w:rPr>
        <w:t>税制要素即税收制度基本构成要素</w:t>
      </w:r>
      <w:r>
        <w:rPr>
          <w:rFonts w:hint="eastAsia"/>
          <w:lang w:val="en-US" w:eastAsia="zh-CN"/>
        </w:rPr>
        <w:t>，</w:t>
      </w:r>
      <w:r>
        <w:rPr>
          <w:rFonts w:hint="default"/>
          <w:lang w:val="en-US" w:eastAsia="zh-CN"/>
        </w:rPr>
        <w:t>主要包括纳税人、</w:t>
      </w:r>
      <w:r>
        <w:rPr>
          <w:rFonts w:hint="eastAsia"/>
          <w:lang w:val="en-US" w:eastAsia="zh-CN"/>
        </w:rPr>
        <w:t>代扣代缴义务人、代收代缴义务人、</w:t>
      </w:r>
      <w:r>
        <w:rPr>
          <w:rFonts w:hint="default"/>
          <w:lang w:val="en-US" w:eastAsia="zh-CN"/>
        </w:rPr>
        <w:t>课税对象、</w:t>
      </w:r>
      <w:r>
        <w:rPr>
          <w:rFonts w:hint="eastAsia"/>
          <w:lang w:val="en-US" w:eastAsia="zh-CN"/>
        </w:rPr>
        <w:t>税目、计税依据、</w:t>
      </w:r>
      <w:r>
        <w:rPr>
          <w:rFonts w:hint="default"/>
          <w:lang w:val="en-US" w:eastAsia="zh-CN"/>
        </w:rPr>
        <w:t>税率、纳税环节、纳税期限、</w:t>
      </w:r>
      <w:r>
        <w:rPr>
          <w:rFonts w:hint="eastAsia"/>
          <w:lang w:val="en-US" w:eastAsia="zh-CN"/>
        </w:rPr>
        <w:t>纳税地点、附加、</w:t>
      </w:r>
      <w:r>
        <w:rPr>
          <w:rFonts w:hint="default"/>
          <w:lang w:val="en-US" w:eastAsia="zh-CN"/>
        </w:rPr>
        <w:t>加成</w:t>
      </w:r>
      <w:r>
        <w:rPr>
          <w:rFonts w:hint="eastAsia"/>
          <w:lang w:val="en-US" w:eastAsia="zh-CN"/>
        </w:rPr>
        <w:t>、税收</w:t>
      </w:r>
      <w:r>
        <w:rPr>
          <w:rFonts w:hint="default"/>
          <w:lang w:val="en-US" w:eastAsia="zh-CN"/>
        </w:rPr>
        <w:t>减免、违章处理</w:t>
      </w:r>
      <w:r>
        <w:rPr>
          <w:rFonts w:hint="eastAsia"/>
          <w:lang w:val="en-US" w:eastAsia="zh-CN"/>
        </w:rPr>
        <w:t>（8.5分）。其中纳税人、课税对象、税率是税制基本要素。（1.5分）</w:t>
      </w:r>
    </w:p>
    <w:p w14:paraId="3B7F49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</w:p>
    <w:p w14:paraId="218231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/>
          <w:lang w:val="en-US" w:eastAsia="zh-CN"/>
        </w:rPr>
        <w:t>2、</w:t>
      </w:r>
      <w:r>
        <w:rPr>
          <w:rFonts w:hint="eastAsia" w:ascii="Times New Roman" w:hAnsi="Times New Roman" w:eastAsia="宋体" w:cs="Times New Roman"/>
          <w:lang w:val="en-US" w:eastAsia="zh-CN"/>
        </w:rPr>
        <w:t>分析：该企业为一般纳税人，</w:t>
      </w:r>
      <w:r>
        <w:rPr>
          <w:rFonts w:hint="default" w:ascii="Times New Roman" w:hAnsi="Times New Roman" w:eastAsia="宋体" w:cs="Times New Roman"/>
          <w:lang w:val="en-US" w:eastAsia="zh-CN"/>
        </w:rPr>
        <w:t>20</w:t>
      </w:r>
      <w:r>
        <w:rPr>
          <w:rFonts w:hint="eastAsia" w:ascii="Times New Roman" w:hAnsi="Times New Roman" w:eastAsia="宋体" w:cs="Times New Roman"/>
          <w:lang w:val="en-US" w:eastAsia="zh-CN"/>
        </w:rPr>
        <w:t>24年10月份销售大米、面粉，为其他单位加工粮食，都属于增值税的征税范围，应纳的增值税。</w:t>
      </w:r>
    </w:p>
    <w:p w14:paraId="1B2BB4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销售额为粮油销售收入20</w:t>
      </w:r>
      <w:r>
        <w:rPr>
          <w:rFonts w:hint="default" w:ascii="Times New Roman" w:hAnsi="Times New Roman" w:eastAsia="宋体" w:cs="Times New Roman"/>
          <w:lang w:val="en-US" w:eastAsia="zh-CN"/>
        </w:rPr>
        <w:t>0</w:t>
      </w:r>
      <w:r>
        <w:rPr>
          <w:rFonts w:hint="eastAsia" w:ascii="Times New Roman" w:hAnsi="Times New Roman" w:eastAsia="宋体" w:cs="Times New Roman"/>
          <w:lang w:val="en-US" w:eastAsia="zh-CN"/>
        </w:rPr>
        <w:t>万元，加工费20万元；而粮油税率为9</w:t>
      </w:r>
      <w:r>
        <w:rPr>
          <w:rFonts w:hint="default" w:ascii="Times New Roman" w:hAnsi="Times New Roman" w:eastAsia="宋体" w:cs="Times New Roman"/>
          <w:lang w:val="en-US" w:eastAsia="zh-CN"/>
        </w:rPr>
        <w:t>%</w:t>
      </w:r>
      <w:r>
        <w:rPr>
          <w:rFonts w:hint="eastAsia" w:ascii="Times New Roman" w:hAnsi="Times New Roman" w:eastAsia="宋体" w:cs="Times New Roman"/>
          <w:lang w:val="en-US" w:eastAsia="zh-CN"/>
        </w:rPr>
        <w:t>，加工费税率为13</w:t>
      </w:r>
      <w:r>
        <w:rPr>
          <w:rFonts w:hint="default" w:ascii="Times New Roman" w:hAnsi="Times New Roman" w:eastAsia="宋体" w:cs="Times New Roman"/>
          <w:lang w:val="en-US" w:eastAsia="zh-CN"/>
        </w:rPr>
        <w:t>%</w:t>
      </w:r>
      <w:r>
        <w:rPr>
          <w:rFonts w:hint="eastAsia" w:ascii="Times New Roman" w:hAnsi="Times New Roman" w:eastAsia="宋体" w:cs="Times New Roman"/>
          <w:lang w:val="en-US" w:eastAsia="zh-CN"/>
        </w:rPr>
        <w:t>，所以，销项税额为20</w:t>
      </w:r>
      <w:r>
        <w:rPr>
          <w:rFonts w:hint="default" w:ascii="Times New Roman" w:hAnsi="Times New Roman" w:eastAsia="宋体" w:cs="Times New Roman"/>
          <w:lang w:val="en-US" w:eastAsia="zh-CN"/>
        </w:rPr>
        <w:t>.</w:t>
      </w:r>
      <w:r>
        <w:rPr>
          <w:rFonts w:hint="eastAsia" w:ascii="Times New Roman" w:hAnsi="Times New Roman" w:eastAsia="宋体" w:cs="Times New Roman"/>
          <w:lang w:val="en-US" w:eastAsia="zh-CN"/>
        </w:rPr>
        <w:t>60万元，即200×9</w:t>
      </w:r>
      <w:r>
        <w:rPr>
          <w:rFonts w:hint="default" w:ascii="Times New Roman" w:hAnsi="Times New Roman" w:eastAsia="宋体" w:cs="Times New Roman"/>
          <w:lang w:val="en-US" w:eastAsia="zh-CN"/>
        </w:rPr>
        <w:t>%+</w:t>
      </w:r>
      <w:r>
        <w:rPr>
          <w:rFonts w:hint="eastAsia" w:ascii="Times New Roman" w:hAnsi="Times New Roman" w:eastAsia="宋体" w:cs="Times New Roman"/>
          <w:lang w:val="en-US" w:eastAsia="zh-CN"/>
        </w:rPr>
        <w:t>20×</w:t>
      </w:r>
      <w:r>
        <w:rPr>
          <w:rFonts w:hint="default" w:ascii="Times New Roman" w:hAnsi="Times New Roman" w:eastAsia="宋体" w:cs="Times New Roman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lang w:val="en-US" w:eastAsia="zh-CN"/>
        </w:rPr>
        <w:t>%=</w:t>
      </w:r>
      <w:r>
        <w:rPr>
          <w:rFonts w:hint="eastAsia" w:ascii="Times New Roman" w:hAnsi="Times New Roman" w:eastAsia="宋体" w:cs="Times New Roman"/>
          <w:lang w:val="en-US" w:eastAsia="zh-CN"/>
        </w:rPr>
        <w:t>20.60万元。</w:t>
      </w:r>
    </w:p>
    <w:p w14:paraId="4C0BAB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进项税额的确定：</w:t>
      </w:r>
    </w:p>
    <w:p w14:paraId="042A74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从农民手中购进稻谷，收购凭证上注明的收购价款为15万元，可以计算进项税额，即15×9</w:t>
      </w:r>
      <w:r>
        <w:rPr>
          <w:rFonts w:hint="default" w:ascii="Times New Roman" w:hAnsi="Times New Roman" w:eastAsia="宋体" w:cs="Times New Roman"/>
          <w:lang w:val="en-US" w:eastAsia="zh-CN"/>
        </w:rPr>
        <w:t>%</w:t>
      </w:r>
      <w:r>
        <w:rPr>
          <w:rFonts w:hint="eastAsia" w:ascii="Times New Roman" w:hAnsi="Times New Roman" w:eastAsia="宋体" w:cs="Times New Roman"/>
          <w:lang w:val="en-US" w:eastAsia="zh-CN"/>
        </w:rPr>
        <w:t>=1.35万元；</w:t>
      </w:r>
    </w:p>
    <w:p w14:paraId="727F7A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从粮食收购部门购进小麦，取得的增值税专用发票上注明的增值税税款为2</w:t>
      </w:r>
      <w:r>
        <w:rPr>
          <w:rFonts w:hint="default" w:ascii="Times New Roman" w:hAnsi="Times New Roman" w:eastAsia="宋体" w:cs="Times New Roman"/>
          <w:lang w:val="en-US" w:eastAsia="zh-CN"/>
        </w:rPr>
        <w:t>.5</w:t>
      </w:r>
      <w:r>
        <w:rPr>
          <w:rFonts w:hint="eastAsia" w:ascii="Times New Roman" w:hAnsi="Times New Roman" w:eastAsia="宋体" w:cs="Times New Roman"/>
          <w:lang w:val="en-US" w:eastAsia="zh-CN"/>
        </w:rPr>
        <w:t>万元，可以抵扣进项税额；</w:t>
      </w:r>
    </w:p>
    <w:p w14:paraId="72F89D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清理出一批霉烂变质的杂粮，经核实该批杂粮不含税的购进价款</w:t>
      </w:r>
      <w:r>
        <w:rPr>
          <w:rFonts w:hint="default" w:ascii="Times New Roman" w:hAnsi="Times New Roman" w:eastAsia="宋体" w:cs="Times New Roman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lang w:val="en-US" w:eastAsia="zh-CN"/>
        </w:rPr>
        <w:t>万元，进项税额已经抵扣，非正常损失不能抵扣进项税额，需转出进项税额</w:t>
      </w:r>
      <w:r>
        <w:rPr>
          <w:rFonts w:hint="default" w:ascii="Times New Roman" w:hAnsi="Times New Roman" w:eastAsia="宋体" w:cs="Times New Roman"/>
          <w:lang w:val="en-US" w:eastAsia="zh-CN"/>
        </w:rPr>
        <w:t>0.</w:t>
      </w:r>
      <w:r>
        <w:rPr>
          <w:rFonts w:hint="eastAsia" w:ascii="Times New Roman" w:hAnsi="Times New Roman" w:eastAsia="宋体" w:cs="Times New Roman"/>
          <w:lang w:val="en-US" w:eastAsia="zh-CN"/>
        </w:rPr>
        <w:t>6万元，即</w:t>
      </w:r>
      <w:r>
        <w:rPr>
          <w:rFonts w:hint="default" w:ascii="Times New Roman" w:hAnsi="Times New Roman" w:eastAsia="宋体" w:cs="Times New Roman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lang w:val="en-US" w:eastAsia="zh-CN"/>
        </w:rPr>
        <w:t>×</w:t>
      </w:r>
      <w:r>
        <w:rPr>
          <w:rFonts w:hint="default" w:ascii="Times New Roman" w:hAnsi="Times New Roman" w:eastAsia="宋体" w:cs="Times New Roman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lang w:val="en-US" w:eastAsia="zh-CN"/>
        </w:rPr>
        <w:t>0</w:t>
      </w:r>
      <w:r>
        <w:rPr>
          <w:rFonts w:hint="default" w:ascii="Times New Roman" w:hAnsi="Times New Roman" w:eastAsia="宋体" w:cs="Times New Roman"/>
          <w:lang w:val="en-US" w:eastAsia="zh-CN"/>
        </w:rPr>
        <w:t>%</w:t>
      </w:r>
      <w:r>
        <w:rPr>
          <w:rFonts w:hint="eastAsia" w:ascii="Times New Roman" w:hAnsi="Times New Roman" w:eastAsia="宋体" w:cs="Times New Roman"/>
          <w:lang w:val="en-US" w:eastAsia="zh-CN"/>
        </w:rPr>
        <w:t>；</w:t>
      </w:r>
    </w:p>
    <w:p w14:paraId="33E593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外购钢材</w:t>
      </w:r>
      <w:r>
        <w:rPr>
          <w:rFonts w:hint="default" w:ascii="Times New Roman" w:hAnsi="Times New Roman" w:eastAsia="宋体" w:cs="Times New Roman"/>
          <w:lang w:val="en-US" w:eastAsia="zh-CN"/>
        </w:rPr>
        <w:t>20</w:t>
      </w:r>
      <w:r>
        <w:rPr>
          <w:rFonts w:hint="eastAsia" w:ascii="Times New Roman" w:hAnsi="Times New Roman" w:eastAsia="宋体" w:cs="Times New Roman"/>
          <w:lang w:val="en-US" w:eastAsia="zh-CN"/>
        </w:rPr>
        <w:t>吨，取得的专用发票上注明的价款</w:t>
      </w:r>
      <w:r>
        <w:rPr>
          <w:rFonts w:hint="default" w:ascii="Times New Roman" w:hAnsi="Times New Roman" w:eastAsia="宋体" w:cs="Times New Roman"/>
          <w:lang w:val="en-US" w:eastAsia="zh-CN"/>
        </w:rPr>
        <w:t>8</w:t>
      </w:r>
      <w:r>
        <w:rPr>
          <w:rFonts w:hint="eastAsia" w:ascii="Times New Roman" w:hAnsi="Times New Roman" w:eastAsia="宋体" w:cs="Times New Roman"/>
          <w:lang w:val="en-US" w:eastAsia="zh-CN"/>
        </w:rPr>
        <w:t>万元，税款为</w:t>
      </w:r>
      <w:r>
        <w:rPr>
          <w:rFonts w:hint="default" w:ascii="Times New Roman" w:hAnsi="Times New Roman" w:eastAsia="宋体" w:cs="Times New Roman"/>
          <w:lang w:val="en-US" w:eastAsia="zh-CN"/>
        </w:rPr>
        <w:t>1.36</w:t>
      </w:r>
      <w:r>
        <w:rPr>
          <w:rFonts w:hint="eastAsia" w:ascii="Times New Roman" w:hAnsi="Times New Roman" w:eastAsia="宋体" w:cs="Times New Roman"/>
          <w:lang w:val="en-US" w:eastAsia="zh-CN"/>
        </w:rPr>
        <w:t>万元，本月份将该批钢材移送本厂粮食仓库的在建工程，用于非应税项目不能抵扣；</w:t>
      </w:r>
    </w:p>
    <w:p w14:paraId="4AB9B3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购进设备一台，增值税专用发票上注明价款</w:t>
      </w:r>
      <w:r>
        <w:rPr>
          <w:rFonts w:hint="default" w:ascii="Times New Roman" w:hAnsi="Times New Roman" w:eastAsia="宋体" w:cs="Times New Roman"/>
          <w:lang w:val="en-US" w:eastAsia="zh-CN"/>
        </w:rPr>
        <w:t>100</w:t>
      </w:r>
      <w:r>
        <w:rPr>
          <w:rFonts w:hint="eastAsia" w:ascii="Times New Roman" w:hAnsi="Times New Roman" w:eastAsia="宋体" w:cs="Times New Roman"/>
          <w:lang w:val="en-US" w:eastAsia="zh-CN"/>
        </w:rPr>
        <w:t>万元、税款</w:t>
      </w:r>
      <w:r>
        <w:rPr>
          <w:rFonts w:hint="default" w:ascii="Times New Roman" w:hAnsi="Times New Roman" w:eastAsia="宋体" w:cs="Times New Roman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lang w:val="en-US" w:eastAsia="zh-CN"/>
        </w:rPr>
        <w:t>3万元，用于技术改造，可以抵扣；</w:t>
      </w:r>
    </w:p>
    <w:p w14:paraId="66F874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外购水产礼盒用于国庆福利发放不抵扣税。</w:t>
      </w:r>
    </w:p>
    <w:p w14:paraId="0CD498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进项税额</w:t>
      </w:r>
      <w:r>
        <w:rPr>
          <w:rFonts w:hint="default" w:ascii="Times New Roman" w:hAnsi="Times New Roman" w:eastAsia="宋体" w:cs="Times New Roman"/>
          <w:lang w:val="en-US" w:eastAsia="zh-CN"/>
        </w:rPr>
        <w:t>=</w:t>
      </w:r>
      <w:r>
        <w:rPr>
          <w:rFonts w:hint="eastAsia" w:ascii="Times New Roman" w:hAnsi="Times New Roman" w:eastAsia="宋体" w:cs="Times New Roman"/>
          <w:lang w:val="en-US" w:eastAsia="zh-CN"/>
        </w:rPr>
        <w:t>1.35</w:t>
      </w:r>
      <w:r>
        <w:rPr>
          <w:rFonts w:hint="default" w:ascii="Times New Roman" w:hAnsi="Times New Roman" w:eastAsia="宋体" w:cs="Times New Roman"/>
          <w:lang w:val="en-US" w:eastAsia="zh-CN"/>
        </w:rPr>
        <w:t>+</w:t>
      </w:r>
      <w:r>
        <w:rPr>
          <w:rFonts w:hint="eastAsia" w:ascii="Times New Roman" w:hAnsi="Times New Roman" w:eastAsia="宋体" w:cs="Times New Roman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lang w:val="en-US" w:eastAsia="zh-CN"/>
        </w:rPr>
        <w:t>.5-</w:t>
      </w:r>
      <w:r>
        <w:rPr>
          <w:rFonts w:hint="eastAsia" w:ascii="Times New Roman" w:hAnsi="Times New Roman" w:eastAsia="宋体" w:cs="Times New Roman"/>
          <w:lang w:val="en-US" w:eastAsia="zh-CN"/>
        </w:rPr>
        <w:t>0.6</w:t>
      </w:r>
      <w:r>
        <w:rPr>
          <w:rFonts w:hint="default" w:ascii="Times New Roman" w:hAnsi="Times New Roman" w:eastAsia="宋体" w:cs="Times New Roman"/>
          <w:lang w:val="en-US" w:eastAsia="zh-CN"/>
        </w:rPr>
        <w:t>+1</w:t>
      </w:r>
      <w:r>
        <w:rPr>
          <w:rFonts w:hint="eastAsia" w:ascii="Times New Roman" w:hAnsi="Times New Roman" w:eastAsia="宋体" w:cs="Times New Roman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lang w:val="en-US" w:eastAsia="zh-CN"/>
        </w:rPr>
        <w:t>=</w:t>
      </w:r>
      <w:r>
        <w:rPr>
          <w:rFonts w:hint="eastAsia" w:ascii="Times New Roman" w:hAnsi="Times New Roman" w:eastAsia="宋体" w:cs="Times New Roman"/>
          <w:lang w:val="en-US" w:eastAsia="zh-CN"/>
        </w:rPr>
        <w:t>16.25万元。</w:t>
      </w:r>
    </w:p>
    <w:p w14:paraId="115B74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该企业10月份应纳的增值税</w:t>
      </w:r>
      <w:r>
        <w:rPr>
          <w:rFonts w:hint="default" w:ascii="Times New Roman" w:hAnsi="Times New Roman" w:eastAsia="宋体" w:cs="Times New Roman"/>
          <w:lang w:val="en-US" w:eastAsia="zh-CN"/>
        </w:rPr>
        <w:t>=</w:t>
      </w:r>
      <w:r>
        <w:rPr>
          <w:rFonts w:hint="eastAsia" w:ascii="Times New Roman" w:hAnsi="Times New Roman" w:eastAsia="宋体" w:cs="Times New Roman"/>
          <w:lang w:val="en-US" w:eastAsia="zh-CN"/>
        </w:rPr>
        <w:t>销项税额</w:t>
      </w:r>
      <w:r>
        <w:rPr>
          <w:rFonts w:hint="default" w:ascii="Times New Roman" w:hAnsi="Times New Roman" w:eastAsia="宋体" w:cs="Times New Roman"/>
          <w:lang w:val="en-US" w:eastAsia="zh-CN"/>
        </w:rPr>
        <w:t>-</w:t>
      </w:r>
      <w:r>
        <w:rPr>
          <w:rFonts w:hint="eastAsia" w:ascii="Times New Roman" w:hAnsi="Times New Roman" w:eastAsia="宋体" w:cs="Times New Roman"/>
          <w:lang w:val="en-US" w:eastAsia="zh-CN"/>
        </w:rPr>
        <w:t>进项税额</w:t>
      </w:r>
      <w:r>
        <w:rPr>
          <w:rFonts w:hint="default" w:ascii="Times New Roman" w:hAnsi="Times New Roman" w:eastAsia="宋体" w:cs="Times New Roman"/>
          <w:lang w:val="en-US" w:eastAsia="zh-CN"/>
        </w:rPr>
        <w:t>=</w:t>
      </w:r>
      <w:r>
        <w:rPr>
          <w:rFonts w:hint="eastAsia" w:ascii="Times New Roman" w:hAnsi="Times New Roman" w:eastAsia="宋体" w:cs="Times New Roman"/>
          <w:lang w:val="en-US" w:eastAsia="zh-CN"/>
        </w:rPr>
        <w:t>20.60万元</w:t>
      </w:r>
      <w:r>
        <w:rPr>
          <w:rFonts w:hint="default" w:ascii="Times New Roman" w:hAnsi="Times New Roman" w:eastAsia="宋体" w:cs="Times New Roman"/>
          <w:lang w:val="en-US" w:eastAsia="zh-CN"/>
        </w:rPr>
        <w:t>-</w:t>
      </w:r>
      <w:r>
        <w:rPr>
          <w:rFonts w:hint="eastAsia" w:ascii="Times New Roman" w:hAnsi="Times New Roman" w:eastAsia="宋体" w:cs="Times New Roman"/>
          <w:lang w:val="en-US" w:eastAsia="zh-CN"/>
        </w:rPr>
        <w:t>16.25万元</w:t>
      </w:r>
      <w:r>
        <w:rPr>
          <w:rFonts w:hint="default" w:ascii="Times New Roman" w:hAnsi="Times New Roman" w:eastAsia="宋体" w:cs="Times New Roman"/>
          <w:lang w:val="en-US" w:eastAsia="zh-CN"/>
        </w:rPr>
        <w:t>=</w:t>
      </w:r>
      <w:r>
        <w:rPr>
          <w:rFonts w:hint="eastAsia" w:ascii="Times New Roman" w:hAnsi="Times New Roman" w:eastAsia="宋体" w:cs="Times New Roman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lang w:val="en-US" w:eastAsia="zh-CN"/>
        </w:rPr>
        <w:t>.</w:t>
      </w:r>
      <w:r>
        <w:rPr>
          <w:rFonts w:hint="eastAsia" w:ascii="Times New Roman" w:hAnsi="Times New Roman" w:eastAsia="宋体" w:cs="Times New Roman"/>
          <w:lang w:val="en-US" w:eastAsia="zh-CN"/>
        </w:rPr>
        <w:t>35万元。</w:t>
      </w:r>
    </w:p>
    <w:p w14:paraId="0C9786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即当期应该缴纳增值税4</w:t>
      </w:r>
      <w:r>
        <w:rPr>
          <w:rFonts w:hint="default" w:ascii="Times New Roman" w:hAnsi="Times New Roman" w:eastAsia="宋体" w:cs="Times New Roman"/>
          <w:lang w:val="en-US" w:eastAsia="zh-CN"/>
        </w:rPr>
        <w:t>.</w:t>
      </w:r>
      <w:r>
        <w:rPr>
          <w:rFonts w:hint="eastAsia" w:ascii="Times New Roman" w:hAnsi="Times New Roman" w:eastAsia="宋体" w:cs="Times New Roman"/>
          <w:lang w:val="en-US" w:eastAsia="zh-CN"/>
        </w:rPr>
        <w:t>35万元。</w:t>
      </w:r>
    </w:p>
    <w:p w14:paraId="21A44E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由于该公司有增值税纳税义务，所以需要缴纳城市建设维税和教育费附加</w:t>
      </w:r>
    </w:p>
    <w:p w14:paraId="1C7DA4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由于公司位于海曙区，所以适用城建税税率为7</w:t>
      </w:r>
      <w:r>
        <w:rPr>
          <w:rFonts w:hint="default" w:ascii="Times New Roman" w:hAnsi="Times New Roman" w:eastAsia="宋体" w:cs="Times New Roman"/>
          <w:lang w:val="en-US" w:eastAsia="zh-CN"/>
        </w:rPr>
        <w:t>%</w:t>
      </w:r>
      <w:r>
        <w:rPr>
          <w:rFonts w:hint="eastAsia" w:ascii="Times New Roman" w:hAnsi="Times New Roman" w:eastAsia="宋体" w:cs="Times New Roman"/>
          <w:lang w:val="en-US" w:eastAsia="zh-CN"/>
        </w:rPr>
        <w:t>。</w:t>
      </w:r>
    </w:p>
    <w:p w14:paraId="78F219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应纳城市建设维税</w:t>
      </w:r>
      <w:r>
        <w:rPr>
          <w:rFonts w:hint="default" w:ascii="Times New Roman" w:hAnsi="Times New Roman" w:eastAsia="宋体" w:cs="Times New Roman"/>
          <w:lang w:val="en-US" w:eastAsia="zh-CN"/>
        </w:rPr>
        <w:t>=</w:t>
      </w:r>
      <w:r>
        <w:rPr>
          <w:rFonts w:hint="eastAsia" w:ascii="Times New Roman" w:hAnsi="Times New Roman" w:eastAsia="宋体" w:cs="Times New Roman"/>
          <w:lang w:val="en-US" w:eastAsia="zh-CN"/>
        </w:rPr>
        <w:t>应纳二税税额×税率</w:t>
      </w:r>
      <w:r>
        <w:rPr>
          <w:rFonts w:hint="default" w:ascii="Times New Roman" w:hAnsi="Times New Roman" w:eastAsia="宋体" w:cs="Times New Roman"/>
          <w:lang w:val="en-US" w:eastAsia="zh-CN"/>
        </w:rPr>
        <w:t>=</w:t>
      </w:r>
      <w:r>
        <w:rPr>
          <w:rFonts w:hint="eastAsia" w:ascii="Times New Roman" w:hAnsi="Times New Roman" w:eastAsia="宋体" w:cs="Times New Roman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lang w:val="en-US" w:eastAsia="zh-CN"/>
        </w:rPr>
        <w:t>.</w:t>
      </w:r>
      <w:r>
        <w:rPr>
          <w:rFonts w:hint="eastAsia" w:ascii="Times New Roman" w:hAnsi="Times New Roman" w:eastAsia="宋体" w:cs="Times New Roman"/>
          <w:lang w:val="en-US" w:eastAsia="zh-CN"/>
        </w:rPr>
        <w:t>35万元×7</w:t>
      </w:r>
      <w:r>
        <w:rPr>
          <w:rFonts w:hint="default" w:ascii="Times New Roman" w:hAnsi="Times New Roman" w:eastAsia="宋体" w:cs="Times New Roman"/>
          <w:lang w:val="en-US" w:eastAsia="zh-CN"/>
        </w:rPr>
        <w:t>%=</w:t>
      </w:r>
      <w:r>
        <w:rPr>
          <w:rFonts w:hint="eastAsia" w:ascii="Times New Roman" w:hAnsi="Times New Roman" w:eastAsia="宋体" w:cs="Times New Roman"/>
          <w:lang w:val="en-US" w:eastAsia="zh-CN"/>
        </w:rPr>
        <w:t>0.3045万元</w:t>
      </w:r>
    </w:p>
    <w:p w14:paraId="5EA32D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应纳教育费附加</w:t>
      </w:r>
      <w:r>
        <w:rPr>
          <w:rFonts w:hint="default" w:ascii="Times New Roman" w:hAnsi="Times New Roman" w:eastAsia="宋体" w:cs="Times New Roman"/>
          <w:lang w:val="en-US" w:eastAsia="zh-CN"/>
        </w:rPr>
        <w:t>=</w:t>
      </w:r>
      <w:r>
        <w:rPr>
          <w:rFonts w:hint="eastAsia" w:ascii="Times New Roman" w:hAnsi="Times New Roman" w:eastAsia="宋体" w:cs="Times New Roman"/>
          <w:lang w:val="en-US" w:eastAsia="zh-CN"/>
        </w:rPr>
        <w:t>应纳二税税额×附加率</w:t>
      </w:r>
      <w:r>
        <w:rPr>
          <w:rFonts w:hint="default" w:ascii="Times New Roman" w:hAnsi="Times New Roman" w:eastAsia="宋体" w:cs="Times New Roman"/>
          <w:lang w:val="en-US" w:eastAsia="zh-CN"/>
        </w:rPr>
        <w:t>=</w:t>
      </w:r>
      <w:r>
        <w:rPr>
          <w:rFonts w:hint="eastAsia" w:ascii="Times New Roman" w:hAnsi="Times New Roman" w:eastAsia="宋体" w:cs="Times New Roman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lang w:val="en-US" w:eastAsia="zh-CN"/>
        </w:rPr>
        <w:t>.</w:t>
      </w:r>
      <w:r>
        <w:rPr>
          <w:rFonts w:hint="eastAsia" w:ascii="Times New Roman" w:hAnsi="Times New Roman" w:eastAsia="宋体" w:cs="Times New Roman"/>
          <w:lang w:val="en-US" w:eastAsia="zh-CN"/>
        </w:rPr>
        <w:t>47万元×（</w:t>
      </w:r>
      <w:r>
        <w:rPr>
          <w:rFonts w:hint="default" w:ascii="Times New Roman" w:hAnsi="Times New Roman" w:eastAsia="宋体" w:cs="Times New Roman"/>
          <w:lang w:val="en-US" w:eastAsia="zh-CN"/>
        </w:rPr>
        <w:t>3%</w:t>
      </w:r>
      <w:r>
        <w:rPr>
          <w:rFonts w:hint="eastAsia" w:ascii="Times New Roman" w:hAnsi="Times New Roman" w:eastAsia="宋体" w:cs="Times New Roman"/>
          <w:lang w:val="en-US" w:eastAsia="zh-CN"/>
        </w:rPr>
        <w:t>+2%）</w:t>
      </w:r>
      <w:r>
        <w:rPr>
          <w:rFonts w:hint="default" w:ascii="Times New Roman" w:hAnsi="Times New Roman" w:eastAsia="宋体" w:cs="Times New Roman"/>
          <w:lang w:val="en-US" w:eastAsia="zh-CN"/>
        </w:rPr>
        <w:t>=</w:t>
      </w:r>
      <w:r>
        <w:rPr>
          <w:rFonts w:hint="eastAsia" w:ascii="Times New Roman" w:hAnsi="Times New Roman" w:eastAsia="宋体" w:cs="Times New Roman"/>
          <w:lang w:val="en-US" w:eastAsia="zh-CN"/>
        </w:rPr>
        <w:t>0.2235万元</w:t>
      </w:r>
    </w:p>
    <w:p w14:paraId="098528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</w:p>
    <w:p w14:paraId="1EDC9B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3、分析：</w:t>
      </w:r>
    </w:p>
    <w:p w14:paraId="35F75B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宁波龙星物流公司2024年占地100000平方米属于土地使用税的征税范围，应纳土地使用税。</w:t>
      </w:r>
    </w:p>
    <w:p w14:paraId="458D5D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其中，企业内职工幼儿园和医院占地15000平方米与其它用地可以区分，可以免税；</w:t>
      </w:r>
    </w:p>
    <w:p w14:paraId="6BCDB6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厂区绿地面积为10000平方米不属于公共绿化用地，应纳税；</w:t>
      </w:r>
    </w:p>
    <w:p w14:paraId="31FB9F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企业出租5000平方米也不能免税。</w:t>
      </w:r>
    </w:p>
    <w:p w14:paraId="3DF96A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应纳土地使用税税额＝计税依据（纳税人实际占用的土地面积）×适用税率=（100000-15000）×10=850000（元）</w:t>
      </w:r>
    </w:p>
    <w:p w14:paraId="1316A1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即该物流公司2024年应纳土地使用税85万元。（10分）</w:t>
      </w:r>
    </w:p>
    <w:p w14:paraId="368994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</w:p>
    <w:p w14:paraId="4AA451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该物流公司自用房产、出租房产和承包房产都属于房产税的征税范围，应纳房产税。</w:t>
      </w:r>
    </w:p>
    <w:p w14:paraId="3B02EC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出租与承包部分：应纳房产税税额＝租金收入×税率=（4×10+1×7）×12%=5.64（万元）</w:t>
      </w:r>
    </w:p>
    <w:p w14:paraId="17591D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自用部分：应纳房产税税额＝房屋余值×税率=（10000-500-500+500×2/12+500×5/12）×（1-30%）×1.2%=44.45（万元）</w:t>
      </w:r>
    </w:p>
    <w:p w14:paraId="38B34D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即宁波龙星物流公司2024年应纳房产税50.09万元（5.64+44.45）。（15分）</w:t>
      </w:r>
    </w:p>
    <w:p w14:paraId="479F12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</w:p>
    <w:p w14:paraId="02257649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9E5D6C"/>
    <w:rsid w:val="559E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2025-12-13T05:22:00Z</dcterms:created>
  <dc:creator>黄岩育华李才聪</dc:creator>
  <cp:lastModifiedBy>黄岩育华李才聪</cp:lastModifiedBy>
  <dcterms:modified xsi:type="dcterms:W3CDTF">2025-12-13T05:24:42Z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A895F96FA7B2497DA143BBDE7AF3D722_11</vt:lpwstr>
  </property>
  <property fmtid="{D5CDD505-2E9C-101B-9397-08002B2CF9AE}" pid="4" name="KSOTemplateDocerSaveRecord">
    <vt:lpwstr>eyJoZGlkIjoiZmQ4ZTQyZDdmOTI0NjQ5MTBlMjM4MTBkY2Y5N2MwMzYiLCJ1c2VySWQiOiI0NTY2Nzc2NjkifQ==</vt:lpwstr>
  </property>
</Properties>
</file>