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bCs/>
          <w:sz w:val="40"/>
          <w:szCs w:val="48"/>
          <w:lang w:val="en-US" w:eastAsia="zh-CN"/>
        </w:rPr>
      </w:pPr>
      <w:r>
        <w:rPr>
          <w:rFonts w:hint="eastAsia"/>
          <w:b/>
          <w:bCs/>
          <w:sz w:val="40"/>
          <w:szCs w:val="48"/>
          <w:lang w:val="en-US" w:eastAsia="zh-CN"/>
        </w:rPr>
        <w:t>税法复习资料</w:t>
      </w:r>
    </w:p>
    <w:p>
      <w:pPr>
        <w:numPr>
          <w:ilvl w:val="0"/>
          <w:numId w:val="1"/>
        </w:numPr>
        <w:spacing w:line="360" w:lineRule="auto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税制的构成要素有哪些？其中基本要素是哪几个要素？）</w:t>
      </w:r>
    </w:p>
    <w:p>
      <w:pPr>
        <w:numPr>
          <w:ilvl w:val="0"/>
          <w:numId w:val="0"/>
        </w:numPr>
        <w:spacing w:line="360" w:lineRule="auto"/>
        <w:rPr>
          <w:rFonts w:hint="eastAsia" w:ascii="宋体" w:hAnsi="宋体" w:cs="宋体"/>
        </w:rPr>
      </w:pPr>
    </w:p>
    <w:p>
      <w:pPr>
        <w:numPr>
          <w:ilvl w:val="0"/>
          <w:numId w:val="0"/>
        </w:numPr>
        <w:spacing w:line="360" w:lineRule="auto"/>
        <w:rPr>
          <w:rFonts w:hint="eastAsia" w:ascii="宋体" w:hAnsi="宋体" w:cs="宋体"/>
        </w:rPr>
      </w:pPr>
      <w:r>
        <w:rPr>
          <w:rFonts w:hint="eastAsia" w:ascii="宋体" w:hAnsi="宋体" w:cs="宋体"/>
          <w:lang w:val="en-US" w:eastAsia="zh-CN"/>
        </w:rPr>
        <w:t>三、</w:t>
      </w:r>
      <w:r>
        <w:rPr>
          <w:rFonts w:hint="eastAsia" w:ascii="宋体" w:hAnsi="宋体" w:cs="宋体"/>
        </w:rPr>
        <w:t>禾丰农产品加工厂为一般纳税人，位于江北区，2023年9月份发生以下经济业务：（1）本月销售大米、面粉取得不含税销售额220万元，为其他单位加工粮食取得不含税加工费收入14万元。（2）从农民手中购进稻谷，收购凭证上注明的收购价款为25万元；（3）从粮食收购部门购进小麦，取得的增值税专用发票上注明的增值税税款为2.5万元，购进的农产品均已验收入库；（4）清理出一批霉烂变质的杂粮（该杂粮用于制作杂粮馒头），经核实该批杂粮不含税的购进价款6万元，进项税额已经抵扣；（5）外购钢材20吨，已验收入库，取得的专用发票上注明的价款8万元，税款为1.04万元，本月份将该批钢材移送本厂粮食仓库的在建工程；（6）购进粮食加工设备一台，增值税专用发票上注明价款100万元、税款13万元，用于技术改造。（7）外购水果一批作为国庆福利发给员工，取得增值税专用发票，价款2万元，税款0.26万元。该加工厂9月份是否需要缴纳增值税？应纳多少增值税？是否需要缴纳城建税和教育费附加？分别应纳多少？（要求写出计算分析过程）</w:t>
      </w:r>
    </w:p>
    <w:p>
      <w:pPr>
        <w:spacing w:line="360" w:lineRule="auto"/>
        <w:rPr>
          <w:rFonts w:hint="eastAsia" w:ascii="宋体" w:hAnsi="宋体" w:cs="宋体"/>
        </w:rPr>
      </w:pPr>
    </w:p>
    <w:p>
      <w:pPr>
        <w:spacing w:line="360" w:lineRule="auto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四、浙江万龙物流公司2022年占地共100000平方米，其中，堆场仓储占地40000平方米，仓库库房占地20000平方米，企业内职工幼儿园和医院占地15000平方米，厂区绿地面积为10000平方米，另外企业出租面积为5000平方米，其它占地10000平方米。该企业用地地处四类地段，年城镇土地使用税的标准为10元/平方米。宁波万龙物流公司2022年应纳土地使用税多少？</w:t>
      </w:r>
    </w:p>
    <w:p>
      <w:pPr>
        <w:spacing w:line="360" w:lineRule="auto"/>
        <w:rPr>
          <w:rFonts w:hint="eastAsia" w:ascii="宋体" w:hAnsi="宋体" w:cs="宋体"/>
        </w:rPr>
      </w:pPr>
    </w:p>
    <w:p>
      <w:pPr>
        <w:spacing w:line="360" w:lineRule="auto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五、浙江万龙物流公司2022年1月1日的房产原值为10000万元；3月1日将其中原值为500万元的房产出租给某承包商经营食堂，月租金4万元，租期3年；6月1日，将房屋价值500万元的加油站对外承包，承包月租金1万元，承包期2年；当地政府规定允许按房产原值减除30%后的余值计税。宁波万龙物流公司2022年应纳房产税多少？</w:t>
      </w:r>
    </w:p>
    <w:p>
      <w:pPr>
        <w:rPr>
          <w:rFonts w:hint="eastAsia"/>
          <w:b/>
          <w:bCs/>
          <w:sz w:val="40"/>
          <w:szCs w:val="48"/>
          <w:lang w:val="en-US" w:eastAsia="zh-CN"/>
        </w:rPr>
      </w:pPr>
      <w:r>
        <w:rPr>
          <w:rFonts w:hint="eastAsia"/>
          <w:b/>
          <w:bCs/>
          <w:sz w:val="40"/>
          <w:szCs w:val="48"/>
          <w:lang w:val="en-US" w:eastAsia="zh-CN"/>
        </w:rPr>
        <w:br w:type="page"/>
      </w:r>
    </w:p>
    <w:p>
      <w:pPr>
        <w:rPr>
          <w:rFonts w:hint="eastAsia"/>
          <w:b/>
          <w:bCs/>
          <w:sz w:val="40"/>
          <w:szCs w:val="48"/>
          <w:lang w:val="en-US" w:eastAsia="zh-CN"/>
        </w:rPr>
      </w:pPr>
    </w:p>
    <w:p>
      <w:pPr>
        <w:rPr>
          <w:rFonts w:hint="eastAsia"/>
          <w:b/>
          <w:bCs/>
          <w:sz w:val="40"/>
          <w:szCs w:val="48"/>
          <w:lang w:val="en-US" w:eastAsia="zh-CN"/>
        </w:rPr>
      </w:pPr>
      <w:r>
        <w:rPr>
          <w:rFonts w:hint="eastAsia"/>
          <w:b/>
          <w:bCs/>
          <w:sz w:val="40"/>
          <w:szCs w:val="48"/>
          <w:lang w:val="en-US" w:eastAsia="zh-CN"/>
        </w:rPr>
        <w:t>参考答案</w:t>
      </w:r>
    </w:p>
    <w:p>
      <w:pPr>
        <w:spacing w:line="360" w:lineRule="auto"/>
        <w:jc w:val="left"/>
        <w:rPr>
          <w:rFonts w:hint="eastAsia" w:ascii="宋体" w:hAnsi="宋体" w:cs="宋体"/>
        </w:rPr>
      </w:pPr>
      <w:r>
        <w:rPr>
          <w:rFonts w:hint="eastAsia" w:ascii="宋体" w:hAnsi="宋体" w:cs="宋体"/>
          <w:b/>
          <w:bCs/>
        </w:rPr>
        <w:t>一、</w:t>
      </w:r>
      <w:r>
        <w:rPr>
          <w:rFonts w:hint="eastAsia" w:ascii="宋体" w:hAnsi="宋体" w:cs="宋体"/>
        </w:rPr>
        <w:t>答案：税制的构成要素包括纳税义务人、代扣代缴义务人、代收代缴义务人、征税对象、税目、计税依据、税率、纳税环节、纳税地点、纳税期限、减免税、附加加成、违章处理。</w:t>
      </w:r>
    </w:p>
    <w:p>
      <w:pPr>
        <w:spacing w:line="360" w:lineRule="auto"/>
        <w:jc w:val="left"/>
        <w:rPr>
          <w:rFonts w:ascii="宋体" w:hAnsi="宋体" w:cs="宋体"/>
        </w:rPr>
      </w:pPr>
      <w:r>
        <w:rPr>
          <w:rFonts w:hint="eastAsia" w:ascii="宋体" w:hAnsi="宋体" w:cs="宋体"/>
        </w:rPr>
        <w:t>其中,纳税义务人、征税对象和税率是税制三个最基本的构成要素。</w:t>
      </w:r>
    </w:p>
    <w:p>
      <w:pPr>
        <w:spacing w:line="360" w:lineRule="auto"/>
        <w:jc w:val="left"/>
        <w:rPr>
          <w:rFonts w:hint="eastAsia" w:ascii="宋体" w:hAnsi="宋体" w:cs="宋体"/>
          <w:b/>
          <w:bCs/>
        </w:rPr>
      </w:pPr>
    </w:p>
    <w:p>
      <w:pPr>
        <w:spacing w:line="360" w:lineRule="auto"/>
        <w:jc w:val="left"/>
        <w:rPr>
          <w:rFonts w:hint="eastAsia" w:ascii="宋体" w:hAnsi="宋体" w:cs="宋体"/>
          <w:b/>
          <w:bCs/>
        </w:rPr>
      </w:pPr>
    </w:p>
    <w:p>
      <w:pPr>
        <w:spacing w:line="360" w:lineRule="auto"/>
        <w:jc w:val="left"/>
        <w:rPr>
          <w:rFonts w:hint="eastAsia" w:ascii="宋体" w:hAnsi="宋体" w:cs="宋体"/>
        </w:rPr>
      </w:pPr>
      <w:r>
        <w:rPr>
          <w:rFonts w:hint="eastAsia" w:ascii="宋体" w:hAnsi="宋体" w:cs="宋体"/>
          <w:b/>
          <w:bCs/>
        </w:rPr>
        <w:t>三、</w:t>
      </w:r>
      <w:r>
        <w:rPr>
          <w:rFonts w:hint="eastAsia" w:ascii="宋体" w:hAnsi="宋体" w:cs="宋体"/>
        </w:rPr>
        <w:t>答案：禾丰农产品加工厂为一般纳税人，2023年9月份销售玉米、面粉，为其他单位加工粮食，都属于增值税的征税范围，应纳的增值税。</w:t>
      </w:r>
    </w:p>
    <w:p>
      <w:pPr>
        <w:spacing w:line="360" w:lineRule="auto"/>
        <w:jc w:val="left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销售额为粮油销售收入220万元，加工费14万元；而粮油税率为9%，加工费税率为13%，所以，销项税额为21.62万元，即220×9%+14×13%=21.62万元。</w:t>
      </w:r>
    </w:p>
    <w:p>
      <w:pPr>
        <w:spacing w:line="360" w:lineRule="auto"/>
        <w:jc w:val="left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进项税额的确定：</w:t>
      </w:r>
    </w:p>
    <w:p>
      <w:pPr>
        <w:spacing w:line="360" w:lineRule="auto"/>
        <w:jc w:val="left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从农民手中购进玉米，收购凭证上注明的收购价款为25万元，可以计算进项税额，即25×9%=2.25万元；</w:t>
      </w:r>
    </w:p>
    <w:p>
      <w:pPr>
        <w:spacing w:line="360" w:lineRule="auto"/>
        <w:jc w:val="left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从粮食收购部门购进小麦，取得的增值税专用发票上注明的增值税税款为2.5万元，可以抵扣进项税额；</w:t>
      </w:r>
    </w:p>
    <w:p>
      <w:pPr>
        <w:spacing w:line="360" w:lineRule="auto"/>
        <w:jc w:val="left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清理出一批霉烂变质的杂粮，经核实该批杂粮不含税的购进价款6万元，进项税额已经抵扣，非正常损失不能抵扣进项税额，需转出进项税额0.6万元，即6×10%；</w:t>
      </w:r>
    </w:p>
    <w:p>
      <w:pPr>
        <w:spacing w:line="360" w:lineRule="auto"/>
        <w:jc w:val="left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外购钢材20吨，取得的专用发票上注明的价款8万元，税款为1.04万元，本月份将该批钢材移送本厂粮食仓库的在建工程，可以抵扣进项税额1.04万元；</w:t>
      </w:r>
    </w:p>
    <w:p>
      <w:pPr>
        <w:spacing w:line="360" w:lineRule="auto"/>
        <w:jc w:val="left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购进设备一台，增值税专用发票上注明价款100万元、税款13万元，用于技术改造，可以抵扣。</w:t>
      </w:r>
    </w:p>
    <w:p>
      <w:pPr>
        <w:spacing w:line="360" w:lineRule="auto"/>
        <w:jc w:val="left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进项税额=2.25+2.5-0.6+1.04+13=18.19万元。</w:t>
      </w:r>
    </w:p>
    <w:p>
      <w:pPr>
        <w:spacing w:line="360" w:lineRule="auto"/>
        <w:jc w:val="left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该加工厂9月份应纳的增值税=销项税额-进项税额=21.62万元-18.19万元=3.43万元。</w:t>
      </w:r>
    </w:p>
    <w:p>
      <w:pPr>
        <w:spacing w:line="360" w:lineRule="auto"/>
        <w:jc w:val="left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即当期应该缴纳增值税3.43万元。</w:t>
      </w:r>
    </w:p>
    <w:p>
      <w:pPr>
        <w:spacing w:line="360" w:lineRule="auto"/>
        <w:jc w:val="left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由于该公司有增值税纳税义务，所以需要缴纳城市建设维税和教育费附加</w:t>
      </w:r>
    </w:p>
    <w:p>
      <w:pPr>
        <w:spacing w:line="360" w:lineRule="auto"/>
        <w:jc w:val="left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由于公司位于江北区，所以适用城建税税率为7%。</w:t>
      </w:r>
    </w:p>
    <w:p>
      <w:pPr>
        <w:spacing w:line="360" w:lineRule="auto"/>
        <w:jc w:val="left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应纳城市建设维税=应纳二税税额×税率=3.43万元×7%=0.2401万元</w:t>
      </w:r>
    </w:p>
    <w:p>
      <w:pPr>
        <w:spacing w:line="360" w:lineRule="auto"/>
        <w:jc w:val="left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应纳教育费附加=应纳二税税额×附加率=3.43万元×（3%+2%）=0.1715万元。</w:t>
      </w:r>
    </w:p>
    <w:p>
      <w:pPr>
        <w:numPr>
          <w:ilvl w:val="0"/>
          <w:numId w:val="0"/>
        </w:numPr>
        <w:spacing w:line="360" w:lineRule="auto"/>
        <w:ind w:leftChars="0"/>
        <w:jc w:val="left"/>
        <w:rPr>
          <w:rFonts w:hint="eastAsia" w:ascii="宋体" w:hAnsi="宋体" w:cs="宋体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ind w:leftChars="0"/>
        <w:jc w:val="left"/>
        <w:rPr>
          <w:rFonts w:hint="eastAsia" w:ascii="宋体" w:hAnsi="宋体" w:cs="宋体"/>
        </w:rPr>
      </w:pPr>
      <w:r>
        <w:rPr>
          <w:rFonts w:hint="eastAsia" w:ascii="宋体" w:hAnsi="宋体" w:cs="宋体"/>
          <w:b/>
          <w:bCs/>
          <w:lang w:val="en-US" w:eastAsia="zh-CN"/>
        </w:rPr>
        <w:t>四、答案：</w:t>
      </w:r>
      <w:r>
        <w:rPr>
          <w:rFonts w:hint="eastAsia" w:ascii="宋体" w:hAnsi="宋体" w:cs="宋体"/>
        </w:rPr>
        <w:t>浙江万龙物流公司2022年占地100000平方米属于土地使用税的征税范围，应纳土地使用税。其中，企业内职工幼儿园和医院占地15000平方米与其它用地可以区分，可以免税；厂区绿地面积为10000平方米不属于公共绿化用地，应纳税；企业出租5000平方米也不能免税。</w:t>
      </w:r>
    </w:p>
    <w:p>
      <w:pPr>
        <w:spacing w:line="360" w:lineRule="auto"/>
        <w:jc w:val="left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应纳土地使用税税额＝计税依据（纳税人实际占用的土地面积）×适用税率=（100000-15000）×10=850000（元），即宁波龙星物流公司2022年应纳土地使用税85万元。</w:t>
      </w:r>
    </w:p>
    <w:p>
      <w:pPr>
        <w:spacing w:line="360" w:lineRule="auto"/>
        <w:jc w:val="left"/>
        <w:rPr>
          <w:rFonts w:hint="eastAsia" w:ascii="宋体" w:hAnsi="宋体" w:cs="宋体"/>
          <w:b/>
          <w:bCs/>
        </w:rPr>
      </w:pPr>
    </w:p>
    <w:p>
      <w:pPr>
        <w:spacing w:line="360" w:lineRule="auto"/>
        <w:jc w:val="left"/>
        <w:rPr>
          <w:rFonts w:hint="eastAsia" w:ascii="宋体" w:hAnsi="宋体" w:cs="宋体"/>
        </w:rPr>
      </w:pPr>
      <w:bookmarkStart w:id="0" w:name="_GoBack"/>
      <w:bookmarkEnd w:id="0"/>
      <w:r>
        <w:rPr>
          <w:rFonts w:hint="eastAsia" w:ascii="宋体" w:hAnsi="宋体" w:cs="宋体"/>
          <w:b/>
          <w:bCs/>
        </w:rPr>
        <w:t>五</w:t>
      </w:r>
      <w:r>
        <w:rPr>
          <w:rFonts w:hint="eastAsia" w:ascii="宋体" w:hAnsi="宋体" w:cs="宋体"/>
        </w:rPr>
        <w:t>、</w:t>
      </w:r>
      <w:r>
        <w:rPr>
          <w:rFonts w:hint="eastAsia" w:ascii="宋体" w:hAnsi="宋体" w:cs="宋体"/>
          <w:b/>
          <w:bCs/>
        </w:rPr>
        <w:t>答案：</w:t>
      </w:r>
      <w:r>
        <w:rPr>
          <w:rFonts w:hint="eastAsia" w:ascii="宋体" w:hAnsi="宋体" w:cs="宋体"/>
        </w:rPr>
        <w:t>浙江万龙物流公司自用房产、出租房产和承包房产都属于房产税的征税范围，应纳房产税。</w:t>
      </w:r>
    </w:p>
    <w:p>
      <w:pPr>
        <w:spacing w:line="360" w:lineRule="auto"/>
        <w:jc w:val="left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出租与承包部分：应纳房产税税额＝租金收入×税率=（4×10+1×7）×12%=5.64（万元）</w:t>
      </w:r>
    </w:p>
    <w:p>
      <w:pPr>
        <w:spacing w:line="360" w:lineRule="auto"/>
        <w:jc w:val="left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自用部分：应纳房产税税额＝房屋余值×税率=（10000-500-500+500×2/12+500×5/12）×（1-30%）×1.2%=44.45（万元），即浙江万龙物流公司2022年应纳房产税50.09万元（5.64+44.45）。</w:t>
      </w:r>
    </w:p>
    <w:p>
      <w:pPr>
        <w:rPr>
          <w:rFonts w:hint="default"/>
          <w:b/>
          <w:bCs/>
          <w:sz w:val="40"/>
          <w:szCs w:val="4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DE8FDC2"/>
    <w:multiLevelType w:val="singleLevel"/>
    <w:tmpl w:val="4DE8FDC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4YTY1Yjc2ZTAyY2M4ZDlhZDI1OTE1OGVjYjVjOGQifQ=="/>
  </w:docVars>
  <w:rsids>
    <w:rsidRoot w:val="63882A07"/>
    <w:rsid w:val="010C0D54"/>
    <w:rsid w:val="0D725B91"/>
    <w:rsid w:val="25046AA6"/>
    <w:rsid w:val="590845D3"/>
    <w:rsid w:val="5F443B39"/>
    <w:rsid w:val="63882A07"/>
    <w:rsid w:val="7A805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2023-12-06T01:48:00Z</dcterms:created>
  <dc:creator>海之韵</dc:creator>
  <cp:lastModifiedBy>育华教育叶燮燮</cp:lastModifiedBy>
  <dcterms:modified xsi:type="dcterms:W3CDTF">2023-12-07T08:12:42Z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92E8291CE2C744B5BCDB96A6610F7B86_11</vt:lpwstr>
  </property>
</Properties>
</file>