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0"/>
        </w:tabs>
        <w:jc w:val="center"/>
        <w:rPr>
          <w:rFonts w:hint="eastAsia"/>
          <w:b/>
          <w:sz w:val="24"/>
          <w:lang w:eastAsia="zh-CN"/>
        </w:rPr>
      </w:pPr>
      <w:r>
        <w:rPr>
          <w:rFonts w:hint="eastAsia"/>
          <w:b/>
          <w:sz w:val="24"/>
        </w:rPr>
        <w:t>管理会计</w:t>
      </w:r>
      <w:r>
        <w:rPr>
          <w:rFonts w:hint="eastAsia"/>
          <w:b/>
          <w:sz w:val="24"/>
          <w:lang w:eastAsia="zh-CN"/>
        </w:rPr>
        <w:t>复习资料</w:t>
      </w: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spacing w:line="360" w:lineRule="exact"/>
        <w:ind w:right="-874" w:rightChars="-416"/>
        <w:rPr>
          <w:szCs w:val="21"/>
        </w:rPr>
      </w:pPr>
      <w:r>
        <w:rPr>
          <w:rFonts w:hint="eastAsia"/>
          <w:szCs w:val="21"/>
        </w:rPr>
        <w:t>1.在特殊订货决策中，接受订货的基本前提是订货价格应                        （     ）。</w:t>
      </w:r>
    </w:p>
    <w:p>
      <w:pPr>
        <w:spacing w:line="360" w:lineRule="exact"/>
        <w:ind w:right="-874" w:rightChars="-416"/>
        <w:rPr>
          <w:szCs w:val="21"/>
        </w:rPr>
      </w:pPr>
      <w:r>
        <w:rPr>
          <w:rFonts w:hint="eastAsia"/>
          <w:szCs w:val="21"/>
        </w:rPr>
        <w:t xml:space="preserve">A.高于单位变动成本       </w:t>
      </w:r>
      <w:r>
        <w:rPr>
          <w:szCs w:val="21"/>
        </w:rPr>
        <w:t>B</w:t>
      </w:r>
      <w:r>
        <w:rPr>
          <w:rFonts w:hint="eastAsia"/>
          <w:szCs w:val="21"/>
        </w:rPr>
        <w:t>.等于或略低于企业正常的销售价格</w:t>
      </w:r>
    </w:p>
    <w:p>
      <w:pPr>
        <w:spacing w:line="360" w:lineRule="exact"/>
        <w:ind w:right="-874" w:rightChars="-416"/>
        <w:rPr>
          <w:szCs w:val="21"/>
        </w:rPr>
      </w:pPr>
      <w:r>
        <w:rPr>
          <w:rFonts w:hint="eastAsia"/>
          <w:szCs w:val="21"/>
        </w:rPr>
        <w:t xml:space="preserve">C.高于单位标准成本       </w:t>
      </w:r>
      <w:r>
        <w:rPr>
          <w:szCs w:val="21"/>
        </w:rPr>
        <w:t>D</w:t>
      </w:r>
      <w:r>
        <w:rPr>
          <w:rFonts w:hint="eastAsia"/>
          <w:szCs w:val="21"/>
        </w:rPr>
        <w:t>.高于单位完全成本</w:t>
      </w:r>
    </w:p>
    <w:p>
      <w:pPr>
        <w:spacing w:line="360" w:lineRule="exact"/>
        <w:ind w:right="-874" w:rightChars="-416"/>
        <w:rPr>
          <w:szCs w:val="21"/>
        </w:rPr>
      </w:pPr>
      <w:r>
        <w:rPr>
          <w:rFonts w:hint="eastAsia"/>
          <w:szCs w:val="21"/>
        </w:rPr>
        <w:t>2.某产品单位变动成本10元，单位售价15元，计划销售1000件产品，如要实现税后利润600元，所得税率为25%，则固定成本应控制在                                         　（     ）。</w:t>
      </w:r>
    </w:p>
    <w:p>
      <w:pPr>
        <w:spacing w:line="360" w:lineRule="exact"/>
        <w:ind w:right="-874" w:rightChars="-416"/>
        <w:rPr>
          <w:szCs w:val="21"/>
        </w:rPr>
      </w:pPr>
      <w:r>
        <w:rPr>
          <w:rFonts w:hint="eastAsia"/>
          <w:szCs w:val="21"/>
        </w:rPr>
        <w:t>A.4440元     B.4200元    C.4800元    D.3137元</w:t>
      </w:r>
    </w:p>
    <w:p>
      <w:pPr>
        <w:spacing w:line="360" w:lineRule="exact"/>
        <w:rPr>
          <w:rFonts w:ascii="宋体" w:hAnsi="宋体"/>
          <w:szCs w:val="21"/>
        </w:rPr>
      </w:pPr>
      <w:r>
        <w:rPr>
          <w:rFonts w:hint="eastAsia"/>
          <w:szCs w:val="21"/>
        </w:rPr>
        <w:t>3.</w:t>
      </w:r>
      <w:r>
        <w:rPr>
          <w:rFonts w:hint="eastAsia" w:ascii="宋体" w:hAnsi="宋体"/>
          <w:szCs w:val="21"/>
        </w:rPr>
        <w:t>某投资项目的折现率为15%时，净现值为10元；折现率为16%时，净现值为—10元，则该项目的内含报酬率在以下哪个区间为内（     ）。</w:t>
      </w:r>
    </w:p>
    <w:p>
      <w:pPr>
        <w:spacing w:line="360" w:lineRule="exact"/>
        <w:rPr>
          <w:rFonts w:ascii="宋体" w:hAnsi="宋体"/>
          <w:szCs w:val="21"/>
        </w:rPr>
      </w:pPr>
      <w:r>
        <w:rPr>
          <w:rFonts w:hint="eastAsia" w:ascii="宋体" w:hAnsi="宋体"/>
          <w:szCs w:val="21"/>
        </w:rPr>
        <w:t>A.15%以下    B.16%以上</w:t>
      </w:r>
      <w:r>
        <w:rPr>
          <w:rFonts w:ascii="宋体" w:hAnsi="宋体"/>
          <w:szCs w:val="21"/>
        </w:rPr>
        <w:t xml:space="preserve"> </w:t>
      </w:r>
      <w:r>
        <w:rPr>
          <w:rFonts w:hint="eastAsia" w:ascii="宋体" w:hAnsi="宋体"/>
          <w:szCs w:val="21"/>
        </w:rPr>
        <w:t xml:space="preserve">   C.[15%，16%] </w:t>
      </w:r>
      <w:r>
        <w:rPr>
          <w:rFonts w:ascii="宋体" w:hAnsi="宋体"/>
          <w:szCs w:val="21"/>
        </w:rPr>
        <w:t xml:space="preserve"> </w:t>
      </w:r>
      <w:r>
        <w:rPr>
          <w:rFonts w:hint="eastAsia" w:ascii="宋体" w:hAnsi="宋体"/>
          <w:szCs w:val="21"/>
        </w:rPr>
        <w:t xml:space="preserve">        D.无正确答案</w:t>
      </w:r>
    </w:p>
    <w:p>
      <w:pPr>
        <w:spacing w:line="360" w:lineRule="exact"/>
        <w:ind w:left="1260" w:right="-5" w:hanging="1260" w:hangingChars="600"/>
        <w:jc w:val="left"/>
        <w:rPr>
          <w:szCs w:val="21"/>
        </w:rPr>
      </w:pPr>
      <w:r>
        <w:rPr>
          <w:rFonts w:hint="eastAsia"/>
          <w:szCs w:val="21"/>
        </w:rPr>
        <w:t>4.如自制会失去现有设备出租的机会，那么选择自制的前提是                　 （　　 ）。</w:t>
      </w:r>
    </w:p>
    <w:p>
      <w:pPr>
        <w:spacing w:line="360" w:lineRule="exact"/>
        <w:ind w:right="907"/>
        <w:rPr>
          <w:rFonts w:ascii="宋体" w:hAnsi="宋体"/>
          <w:szCs w:val="21"/>
        </w:rPr>
      </w:pPr>
      <w:r>
        <w:rPr>
          <w:rFonts w:hint="eastAsia"/>
          <w:szCs w:val="21"/>
        </w:rPr>
        <w:t>A.自制变动成本</w:t>
      </w:r>
      <w:r>
        <w:rPr>
          <w:rFonts w:hint="eastAsia" w:ascii="宋体" w:hAnsi="宋体"/>
          <w:szCs w:val="21"/>
        </w:rPr>
        <w:t>&lt;</w:t>
      </w:r>
      <w:r>
        <w:rPr>
          <w:rFonts w:hint="eastAsia"/>
          <w:szCs w:val="21"/>
        </w:rPr>
        <w:t>外购成本           B.租金收入</w:t>
      </w:r>
      <w:r>
        <w:rPr>
          <w:rFonts w:hint="eastAsia" w:ascii="宋体" w:hAnsi="宋体"/>
          <w:szCs w:val="21"/>
        </w:rPr>
        <w:t>&lt;自制变动成本</w:t>
      </w:r>
    </w:p>
    <w:p>
      <w:pPr>
        <w:spacing w:line="360" w:lineRule="exact"/>
        <w:ind w:right="907"/>
        <w:rPr>
          <w:rFonts w:ascii="宋体" w:hAnsi="宋体"/>
          <w:szCs w:val="21"/>
        </w:rPr>
      </w:pPr>
      <w:r>
        <w:rPr>
          <w:rFonts w:hint="eastAsia"/>
          <w:szCs w:val="21"/>
        </w:rPr>
        <w:t>C.自制变动成本+租金收入</w:t>
      </w:r>
      <w:r>
        <w:rPr>
          <w:rFonts w:hint="eastAsia" w:ascii="宋体" w:hAnsi="宋体"/>
          <w:szCs w:val="21"/>
        </w:rPr>
        <w:t xml:space="preserve">&lt;外购成本  </w:t>
      </w:r>
      <w:r>
        <w:rPr>
          <w:rFonts w:hint="eastAsia"/>
          <w:szCs w:val="21"/>
        </w:rPr>
        <w:t>D.外购成本—租金收入</w:t>
      </w:r>
      <w:r>
        <w:rPr>
          <w:rFonts w:hint="eastAsia" w:ascii="宋体" w:hAnsi="宋体"/>
          <w:szCs w:val="21"/>
        </w:rPr>
        <w:t>&lt;自制变动成本</w:t>
      </w:r>
    </w:p>
    <w:p>
      <w:pPr>
        <w:spacing w:line="360" w:lineRule="exact"/>
        <w:rPr>
          <w:rFonts w:ascii="宋体" w:hAnsi="宋体"/>
          <w:szCs w:val="21"/>
        </w:rPr>
      </w:pPr>
      <w:r>
        <w:rPr>
          <w:rFonts w:hint="eastAsia"/>
          <w:szCs w:val="21"/>
        </w:rPr>
        <w:t>5.</w:t>
      </w:r>
      <w:r>
        <w:rPr>
          <w:rFonts w:hint="eastAsia" w:ascii="宋体" w:hAnsi="宋体"/>
          <w:szCs w:val="21"/>
        </w:rPr>
        <w:t>下列属于变动成本的是（     ）。</w:t>
      </w:r>
    </w:p>
    <w:p>
      <w:pPr>
        <w:spacing w:line="360" w:lineRule="exact"/>
        <w:rPr>
          <w:rFonts w:ascii="宋体" w:hAnsi="宋体"/>
          <w:szCs w:val="21"/>
        </w:rPr>
      </w:pPr>
      <w:r>
        <w:rPr>
          <w:rFonts w:hint="eastAsia" w:ascii="宋体" w:hAnsi="宋体"/>
          <w:szCs w:val="21"/>
        </w:rPr>
        <w:t>A.管理人员基本工资                B.专职销售机构的日常最低开支</w:t>
      </w:r>
    </w:p>
    <w:p>
      <w:pPr>
        <w:spacing w:line="360" w:lineRule="exact"/>
        <w:rPr>
          <w:rFonts w:ascii="宋体" w:hAnsi="宋体"/>
          <w:szCs w:val="21"/>
        </w:rPr>
      </w:pPr>
      <w:r>
        <w:rPr>
          <w:rFonts w:hint="eastAsia" w:ascii="宋体" w:hAnsi="宋体"/>
          <w:szCs w:val="21"/>
        </w:rPr>
        <w:t>C.生产成本的直接人工费用          D.折旧</w:t>
      </w:r>
    </w:p>
    <w:p>
      <w:pPr>
        <w:spacing w:line="360" w:lineRule="exact"/>
        <w:ind w:left="210" w:hanging="210" w:hangingChars="100"/>
      </w:pPr>
      <w:r>
        <w:rPr>
          <w:rFonts w:hint="eastAsia"/>
        </w:rPr>
        <w:t>6．已知固定性制造费用标准分配率为2元／小时。当月相关数据如下：实际发生固定性制造费用9800元，实际工时为5000小时，标准工时为4800小时，预计应完成的总工时为5600小时，则固定性制造费用耗费差异为（　　　）</w:t>
      </w:r>
    </w:p>
    <w:p>
      <w:pPr>
        <w:spacing w:line="360" w:lineRule="exact"/>
        <w:ind w:left="210" w:leftChars="100"/>
      </w:pPr>
      <w:r>
        <w:rPr>
          <w:rFonts w:hint="eastAsia"/>
        </w:rPr>
        <w:t>A．超支200元</w:t>
      </w:r>
      <w:r>
        <w:rPr>
          <w:rFonts w:hint="eastAsia"/>
        </w:rPr>
        <w:tab/>
      </w:r>
      <w:r>
        <w:rPr>
          <w:rFonts w:hint="eastAsia"/>
        </w:rPr>
        <w:tab/>
      </w:r>
      <w:r>
        <w:rPr>
          <w:rFonts w:hint="eastAsia"/>
        </w:rPr>
        <w:t xml:space="preserve">B．节约1200元  </w:t>
      </w:r>
      <w:r>
        <w:rPr>
          <w:rFonts w:hint="eastAsia"/>
        </w:rPr>
        <w:tab/>
      </w:r>
      <w:r>
        <w:rPr>
          <w:rFonts w:hint="eastAsia"/>
        </w:rPr>
        <w:t xml:space="preserve">C．超支400元  </w:t>
      </w:r>
      <w:r>
        <w:rPr>
          <w:rFonts w:hint="eastAsia"/>
        </w:rPr>
        <w:tab/>
      </w:r>
      <w:r>
        <w:rPr>
          <w:rFonts w:hint="eastAsia"/>
        </w:rPr>
        <w:t xml:space="preserve">D．节约1400元 </w:t>
      </w:r>
    </w:p>
    <w:p>
      <w:pPr>
        <w:spacing w:line="360" w:lineRule="exact"/>
        <w:ind w:left="210" w:hanging="210" w:hangingChars="100"/>
      </w:pPr>
      <w:r>
        <w:rPr>
          <w:rFonts w:hint="eastAsia"/>
        </w:rPr>
        <w:t>7．飞机制造企业适宜采用的成本计算基本方法是（　　　）</w:t>
      </w:r>
    </w:p>
    <w:p>
      <w:pPr>
        <w:spacing w:line="360" w:lineRule="exact"/>
        <w:ind w:firstLine="210" w:firstLineChars="100"/>
      </w:pPr>
      <w:r>
        <w:rPr>
          <w:rFonts w:hint="eastAsia"/>
        </w:rPr>
        <w:t>A．分批法</w:t>
      </w:r>
      <w:r>
        <w:rPr>
          <w:rFonts w:hint="eastAsia"/>
        </w:rPr>
        <w:tab/>
      </w:r>
      <w:r>
        <w:rPr>
          <w:rFonts w:hint="eastAsia"/>
        </w:rPr>
        <w:tab/>
      </w:r>
      <w:r>
        <w:rPr>
          <w:rFonts w:hint="eastAsia"/>
        </w:rPr>
        <w:tab/>
      </w:r>
      <w:r>
        <w:rPr>
          <w:rFonts w:hint="eastAsia"/>
        </w:rPr>
        <w:t>B．分类法    C．品种法</w:t>
      </w:r>
      <w:r>
        <w:rPr>
          <w:rFonts w:hint="eastAsia"/>
        </w:rPr>
        <w:tab/>
      </w:r>
      <w:r>
        <w:rPr>
          <w:rFonts w:hint="eastAsia"/>
        </w:rPr>
        <w:t xml:space="preserve">  D．分步法</w:t>
      </w:r>
    </w:p>
    <w:p>
      <w:pPr>
        <w:spacing w:line="360" w:lineRule="exact"/>
        <w:ind w:left="210" w:hanging="210" w:hangingChars="100"/>
      </w:pPr>
      <w:r>
        <w:rPr>
          <w:rFonts w:hint="eastAsia"/>
        </w:rPr>
        <w:t>8．直接材料预算的编制基础是（　　　）</w:t>
      </w:r>
    </w:p>
    <w:p>
      <w:pPr>
        <w:spacing w:line="360" w:lineRule="exact"/>
        <w:ind w:left="210" w:leftChars="100"/>
      </w:pPr>
      <w:r>
        <w:rPr>
          <w:rFonts w:hint="eastAsia"/>
        </w:rPr>
        <w:t xml:space="preserve">A．销售预算 </w:t>
      </w:r>
      <w:r>
        <w:rPr>
          <w:rFonts w:hint="eastAsia"/>
        </w:rPr>
        <w:tab/>
      </w:r>
      <w:r>
        <w:rPr>
          <w:rFonts w:hint="eastAsia"/>
        </w:rPr>
        <w:t>B．生产预算   C．财务预算</w:t>
      </w:r>
      <w:r>
        <w:rPr>
          <w:rFonts w:hint="eastAsia"/>
        </w:rPr>
        <w:tab/>
      </w:r>
      <w:r>
        <w:rPr>
          <w:rFonts w:hint="eastAsia"/>
        </w:rPr>
        <w:tab/>
      </w:r>
      <w:r>
        <w:rPr>
          <w:rFonts w:hint="eastAsia"/>
        </w:rPr>
        <w:t>D．直接人工预算</w:t>
      </w:r>
    </w:p>
    <w:p>
      <w:pPr>
        <w:spacing w:line="360" w:lineRule="exact"/>
        <w:ind w:left="210" w:hanging="210" w:hangingChars="100"/>
      </w:pPr>
      <w:r>
        <w:rPr>
          <w:rFonts w:hint="eastAsia"/>
        </w:rPr>
        <w:t>9．下列说法正确的是（　　　）</w:t>
      </w:r>
    </w:p>
    <w:p>
      <w:pPr>
        <w:spacing w:line="360" w:lineRule="exact"/>
        <w:ind w:left="210" w:leftChars="100"/>
      </w:pPr>
      <w:r>
        <w:rPr>
          <w:rFonts w:hint="eastAsia"/>
        </w:rPr>
        <w:t>A．盈亏临界点分析与完全成本计算法一致</w:t>
      </w:r>
      <w:r>
        <w:rPr>
          <w:rFonts w:hint="eastAsia"/>
        </w:rPr>
        <w:tab/>
      </w:r>
    </w:p>
    <w:p>
      <w:pPr>
        <w:spacing w:line="360" w:lineRule="exact"/>
        <w:ind w:left="210" w:leftChars="100"/>
      </w:pPr>
      <w:r>
        <w:rPr>
          <w:rFonts w:hint="eastAsia"/>
        </w:rPr>
        <w:t>B．销售量不变，盈亏临界点越低，可实现的利润也越低</w:t>
      </w:r>
    </w:p>
    <w:p>
      <w:pPr>
        <w:spacing w:line="360" w:lineRule="exact"/>
        <w:ind w:left="210" w:leftChars="100"/>
      </w:pPr>
      <w:r>
        <w:rPr>
          <w:rFonts w:hint="eastAsia"/>
        </w:rPr>
        <w:t>C．盈亏临界点不变，销售量越大，可实现的利润也越高</w:t>
      </w:r>
    </w:p>
    <w:p>
      <w:pPr>
        <w:spacing w:line="360" w:lineRule="exact"/>
        <w:ind w:left="210" w:leftChars="100"/>
      </w:pPr>
      <w:r>
        <w:rPr>
          <w:rFonts w:hint="eastAsia"/>
        </w:rPr>
        <w:t>D．当变动成本率为70％，安全边际率为20％，则销售利润率为14％</w:t>
      </w:r>
    </w:p>
    <w:p>
      <w:pPr>
        <w:spacing w:line="360" w:lineRule="exact"/>
        <w:ind w:left="210" w:hanging="210" w:hangingChars="100"/>
      </w:pPr>
      <w:r>
        <w:rPr>
          <w:rFonts w:hint="eastAsia"/>
        </w:rPr>
        <w:t>10．销售单价的变动，将促使保本点（　　　）</w:t>
      </w:r>
    </w:p>
    <w:p>
      <w:pPr>
        <w:spacing w:line="360" w:lineRule="exact"/>
        <w:ind w:left="210" w:leftChars="100"/>
      </w:pPr>
      <w:r>
        <w:rPr>
          <w:rFonts w:hint="eastAsia"/>
        </w:rPr>
        <w:t>A．正向变动</w:t>
      </w:r>
      <w:r>
        <w:rPr>
          <w:rFonts w:hint="eastAsia"/>
        </w:rPr>
        <w:tab/>
      </w:r>
      <w:r>
        <w:rPr>
          <w:rFonts w:hint="eastAsia"/>
        </w:rPr>
        <w:tab/>
      </w:r>
      <w:r>
        <w:rPr>
          <w:rFonts w:hint="eastAsia"/>
        </w:rPr>
        <w:t xml:space="preserve">B．反向变动   C．保持不变  </w:t>
      </w:r>
      <w:r>
        <w:rPr>
          <w:rFonts w:hint="eastAsia"/>
        </w:rPr>
        <w:tab/>
      </w:r>
      <w:r>
        <w:rPr>
          <w:rFonts w:hint="eastAsia"/>
        </w:rPr>
        <w:t>D．应视具体情况而定</w:t>
      </w:r>
    </w:p>
    <w:p>
      <w:pPr>
        <w:spacing w:line="360" w:lineRule="exact"/>
        <w:ind w:left="210" w:hanging="210" w:hangingChars="100"/>
      </w:pPr>
      <w:r>
        <w:rPr>
          <w:rFonts w:hint="eastAsia"/>
        </w:rPr>
        <w:t>11．其他因素不变时，单位变动成本的上升会引起（　　　）</w:t>
      </w:r>
    </w:p>
    <w:p>
      <w:pPr>
        <w:spacing w:line="360" w:lineRule="exact"/>
        <w:ind w:left="210" w:leftChars="100"/>
      </w:pPr>
      <w:r>
        <w:rPr>
          <w:rFonts w:hint="eastAsia"/>
        </w:rPr>
        <w:t>A．保本点降低，安全边际降低</w:t>
      </w:r>
      <w:r>
        <w:rPr>
          <w:rFonts w:hint="eastAsia"/>
        </w:rPr>
        <w:tab/>
      </w:r>
      <w:r>
        <w:rPr>
          <w:rFonts w:hint="eastAsia"/>
        </w:rPr>
        <w:tab/>
      </w:r>
      <w:r>
        <w:rPr>
          <w:rFonts w:hint="eastAsia"/>
        </w:rPr>
        <w:tab/>
      </w:r>
      <w:r>
        <w:rPr>
          <w:rFonts w:hint="eastAsia"/>
        </w:rPr>
        <w:t>B．保本点上升，安全边际上升</w:t>
      </w:r>
    </w:p>
    <w:p>
      <w:pPr>
        <w:spacing w:line="360" w:lineRule="exact"/>
        <w:ind w:left="210" w:leftChars="100"/>
      </w:pPr>
      <w:r>
        <w:rPr>
          <w:rFonts w:hint="eastAsia"/>
        </w:rPr>
        <w:t>C．保本点降低，安全边际上升</w:t>
      </w:r>
      <w:r>
        <w:rPr>
          <w:rFonts w:hint="eastAsia"/>
        </w:rPr>
        <w:tab/>
      </w:r>
      <w:r>
        <w:rPr>
          <w:rFonts w:hint="eastAsia"/>
        </w:rPr>
        <w:tab/>
      </w:r>
      <w:r>
        <w:rPr>
          <w:rFonts w:hint="eastAsia"/>
        </w:rPr>
        <w:tab/>
      </w:r>
      <w:r>
        <w:rPr>
          <w:rFonts w:hint="eastAsia"/>
        </w:rPr>
        <w:t>D．保本点上升，安全边际下降</w:t>
      </w:r>
    </w:p>
    <w:p>
      <w:pPr>
        <w:spacing w:line="360" w:lineRule="exact"/>
        <w:ind w:left="210" w:hanging="210" w:hangingChars="100"/>
      </w:pPr>
      <w:r>
        <w:rPr>
          <w:rFonts w:hint="eastAsia"/>
        </w:rPr>
        <w:t>12．下列属于过去已经发生，与某一特定决策方案没有直接联系的成本是（　　　）</w:t>
      </w:r>
    </w:p>
    <w:p>
      <w:pPr>
        <w:spacing w:line="360" w:lineRule="exact"/>
        <w:ind w:left="210" w:leftChars="100"/>
      </w:pPr>
      <w:r>
        <w:rPr>
          <w:rFonts w:hint="eastAsia"/>
        </w:rPr>
        <w:t>A．沉没成本</w:t>
      </w:r>
      <w:r>
        <w:rPr>
          <w:rFonts w:hint="eastAsia"/>
        </w:rPr>
        <w:tab/>
      </w:r>
      <w:r>
        <w:rPr>
          <w:rFonts w:hint="eastAsia"/>
        </w:rPr>
        <w:t>B．不可避免成本    C．不可延缓成本</w:t>
      </w:r>
      <w:r>
        <w:rPr>
          <w:rFonts w:hint="eastAsia"/>
        </w:rPr>
        <w:tab/>
      </w:r>
      <w:r>
        <w:rPr>
          <w:rFonts w:hint="eastAsia"/>
        </w:rPr>
        <w:tab/>
      </w:r>
      <w:r>
        <w:rPr>
          <w:rFonts w:hint="eastAsia"/>
        </w:rPr>
        <w:t>D．应负成本</w:t>
      </w:r>
    </w:p>
    <w:p>
      <w:pPr>
        <w:spacing w:line="360" w:lineRule="exact"/>
        <w:ind w:left="210" w:hanging="210" w:hangingChars="100"/>
      </w:pPr>
      <w:r>
        <w:rPr>
          <w:rFonts w:hint="eastAsia"/>
        </w:rPr>
        <w:t>13．可用来分解半变动成本的方法是（　　　）</w:t>
      </w:r>
    </w:p>
    <w:p>
      <w:pPr>
        <w:spacing w:line="360" w:lineRule="exact"/>
        <w:ind w:left="210" w:leftChars="100"/>
      </w:pPr>
      <w:r>
        <w:rPr>
          <w:rFonts w:hint="eastAsia"/>
        </w:rPr>
        <w:t>A．移动平均法</w:t>
      </w:r>
      <w:r>
        <w:rPr>
          <w:rFonts w:hint="eastAsia"/>
        </w:rPr>
        <w:tab/>
      </w:r>
      <w:r>
        <w:rPr>
          <w:rFonts w:hint="eastAsia"/>
        </w:rPr>
        <w:tab/>
      </w:r>
      <w:r>
        <w:rPr>
          <w:rFonts w:hint="eastAsia"/>
        </w:rPr>
        <w:t>B．散布图法   C．净现值法</w:t>
      </w:r>
      <w:r>
        <w:rPr>
          <w:rFonts w:hint="eastAsia"/>
        </w:rPr>
        <w:tab/>
      </w:r>
      <w:r>
        <w:rPr>
          <w:rFonts w:hint="eastAsia"/>
        </w:rPr>
        <w:t>D．差量分析法</w:t>
      </w:r>
    </w:p>
    <w:p>
      <w:pPr>
        <w:spacing w:line="360" w:lineRule="exact"/>
        <w:ind w:left="210" w:hanging="210" w:hangingChars="100"/>
      </w:pPr>
      <w:r>
        <w:rPr>
          <w:rFonts w:hint="eastAsia"/>
        </w:rPr>
        <w:t>14．选择某一方案而放弃另一方案所丧失的可望获得的潜在收益是指（　　　）</w:t>
      </w:r>
    </w:p>
    <w:p>
      <w:pPr>
        <w:spacing w:line="360" w:lineRule="exact"/>
        <w:ind w:left="210" w:leftChars="100"/>
      </w:pPr>
      <w:r>
        <w:rPr>
          <w:rFonts w:hint="eastAsia"/>
        </w:rPr>
        <w:t>A．付现成本</w:t>
      </w:r>
      <w:r>
        <w:rPr>
          <w:rFonts w:hint="eastAsia"/>
        </w:rPr>
        <w:tab/>
      </w:r>
      <w:r>
        <w:rPr>
          <w:rFonts w:hint="eastAsia"/>
        </w:rPr>
        <w:tab/>
      </w:r>
      <w:r>
        <w:rPr>
          <w:rFonts w:hint="eastAsia"/>
        </w:rPr>
        <w:t xml:space="preserve">B．期间成本   C．产品成本 </w:t>
      </w:r>
      <w:r>
        <w:rPr>
          <w:rFonts w:hint="eastAsia"/>
        </w:rPr>
        <w:tab/>
      </w:r>
      <w:r>
        <w:rPr>
          <w:rFonts w:hint="eastAsia"/>
        </w:rPr>
        <w:tab/>
      </w:r>
      <w:r>
        <w:rPr>
          <w:rFonts w:hint="eastAsia"/>
        </w:rPr>
        <w:t>D．机会成本</w:t>
      </w:r>
    </w:p>
    <w:p>
      <w:pPr>
        <w:spacing w:line="360" w:lineRule="exact"/>
        <w:ind w:left="210" w:hanging="210" w:hangingChars="100"/>
      </w:pPr>
      <w:r>
        <w:rPr>
          <w:rFonts w:hint="eastAsia"/>
        </w:rPr>
        <w:t>15．将成本划分为变动成本与固体成本的分类标志是（　　　）</w:t>
      </w:r>
    </w:p>
    <w:p>
      <w:pPr>
        <w:spacing w:line="360" w:lineRule="exact"/>
        <w:ind w:left="210" w:leftChars="100"/>
        <w:rPr>
          <w:rFonts w:ascii="宋体" w:hAnsi="宋体"/>
          <w:szCs w:val="21"/>
        </w:rPr>
      </w:pPr>
      <w:r>
        <w:rPr>
          <w:rFonts w:hint="eastAsia"/>
        </w:rPr>
        <w:t>A．成本项目</w:t>
      </w:r>
      <w:r>
        <w:rPr>
          <w:rFonts w:hint="eastAsia"/>
        </w:rPr>
        <w:tab/>
      </w:r>
      <w:r>
        <w:rPr>
          <w:rFonts w:hint="eastAsia"/>
        </w:rPr>
        <w:tab/>
      </w:r>
      <w:r>
        <w:rPr>
          <w:rFonts w:hint="eastAsia"/>
        </w:rPr>
        <w:t>B．成本对象   C．经济内容</w:t>
      </w:r>
      <w:r>
        <w:rPr>
          <w:rFonts w:hint="eastAsia"/>
        </w:rPr>
        <w:tab/>
      </w:r>
      <w:r>
        <w:rPr>
          <w:rFonts w:hint="eastAsia"/>
        </w:rPr>
        <w:tab/>
      </w:r>
      <w:r>
        <w:rPr>
          <w:rFonts w:hint="eastAsia"/>
        </w:rPr>
        <w:t>D．成本习性</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二、判断题（每小题</w:t>
      </w:r>
      <w:r>
        <w:rPr>
          <w:rFonts w:ascii="黑体" w:hAnsi="黑体" w:eastAsia="黑体"/>
          <w:color w:val="000000"/>
          <w:sz w:val="24"/>
        </w:rPr>
        <w:t>2</w:t>
      </w:r>
      <w:r>
        <w:rPr>
          <w:rFonts w:hint="eastAsia" w:ascii="黑体" w:hAnsi="黑体" w:eastAsia="黑体"/>
          <w:color w:val="000000"/>
          <w:sz w:val="24"/>
        </w:rPr>
        <w:t>分，计10分；正确的打√，错误的打×）</w:t>
      </w:r>
    </w:p>
    <w:p>
      <w:pPr>
        <w:spacing w:line="360" w:lineRule="exact"/>
        <w:ind w:left="210" w:hanging="210" w:hangingChars="100"/>
      </w:pPr>
      <w:r>
        <w:rPr>
          <w:rFonts w:hint="eastAsia"/>
        </w:rPr>
        <w:t>1、在多产品保本点计算时，如果边际贡献率高的产品结构比重上升，则保本点下降。　　（ 　）</w:t>
      </w:r>
    </w:p>
    <w:p>
      <w:pPr>
        <w:spacing w:line="360" w:lineRule="exact"/>
        <w:ind w:left="210" w:hanging="210" w:hangingChars="100"/>
      </w:pPr>
      <w:r>
        <w:rPr>
          <w:rFonts w:hint="eastAsia"/>
        </w:rPr>
        <w:t>2、按决策活动是否需要发生现金支付，可把成本区分为重置成本和历史成本。　　　  （   ）</w:t>
      </w:r>
    </w:p>
    <w:p>
      <w:pPr>
        <w:spacing w:line="360" w:lineRule="exact"/>
        <w:ind w:left="210" w:hanging="210" w:hangingChars="100"/>
      </w:pPr>
      <w:r>
        <w:rPr>
          <w:rFonts w:hint="eastAsia"/>
        </w:rPr>
        <w:t>3、管理会计信息质量的及时性要求是指管理会计信息应按照公认会计原则的要求及时提供管理会计信息。                                                            （   ）</w:t>
      </w:r>
    </w:p>
    <w:p>
      <w:pPr>
        <w:spacing w:line="360" w:lineRule="exact"/>
        <w:ind w:left="210" w:hanging="210" w:hangingChars="100"/>
      </w:pPr>
      <w:r>
        <w:rPr>
          <w:rFonts w:hint="eastAsia"/>
        </w:rPr>
        <w:t>4、弹性预算又称滚动预算，它是一种能够适应一系列业务量变化的预算。           　（   ）</w:t>
      </w:r>
    </w:p>
    <w:p>
      <w:pPr>
        <w:spacing w:line="360" w:lineRule="exact"/>
        <w:ind w:left="210" w:hanging="210" w:hangingChars="100"/>
      </w:pPr>
      <w:r>
        <w:rPr>
          <w:rFonts w:hint="eastAsia"/>
        </w:rPr>
        <w:t>5、全部成本法与变动成本法发生期间损益差异的根本原因是对固定制造费用的处理不同。（   ）</w:t>
      </w:r>
    </w:p>
    <w:p>
      <w:pPr>
        <w:pStyle w:val="3"/>
        <w:tabs>
          <w:tab w:val="left" w:pos="840"/>
        </w:tabs>
        <w:spacing w:before="0" w:beforeAutospacing="0" w:after="0" w:afterAutospacing="0"/>
        <w:rPr>
          <w:b/>
        </w:rPr>
      </w:pPr>
      <w:r>
        <w:rPr>
          <w:rFonts w:hint="eastAsia"/>
          <w:b/>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1.管理会计</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2.变动成本</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3.净现值</w:t>
      </w:r>
    </w:p>
    <w:p>
      <w:pPr>
        <w:rPr>
          <w:szCs w:val="21"/>
        </w:rPr>
      </w:pPr>
      <w:r>
        <w:rPr>
          <w:rFonts w:hint="eastAsia" w:asciiTheme="minorEastAsia" w:hAnsiTheme="minorEastAsia" w:eastAsiaTheme="minorEastAsia"/>
          <w:szCs w:val="21"/>
        </w:rPr>
        <w:t>4.</w:t>
      </w:r>
      <w:r>
        <w:rPr>
          <w:rFonts w:hint="eastAsia"/>
          <w:szCs w:val="21"/>
        </w:rPr>
        <w:t xml:space="preserve"> 责任中心</w:t>
      </w: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szCs w:val="21"/>
        </w:rPr>
        <w:t>什么是现金流量，其内容包括哪些方面?</w:t>
      </w:r>
    </w:p>
    <w:p>
      <w:pPr>
        <w:spacing w:line="320" w:lineRule="exact"/>
        <w:rPr>
          <w:rFonts w:asciiTheme="minorEastAsia" w:hAnsiTheme="minorEastAsia" w:eastAsiaTheme="minorEastAsia"/>
          <w:szCs w:val="21"/>
        </w:rPr>
      </w:pPr>
      <w:r>
        <w:rPr>
          <w:rFonts w:hint="eastAsia" w:ascii="宋体" w:hAnsi="宋体" w:cs="宋体"/>
          <w:szCs w:val="21"/>
        </w:rPr>
        <w:t>2、</w:t>
      </w:r>
      <w:r>
        <w:rPr>
          <w:rFonts w:hint="eastAsia"/>
          <w:szCs w:val="21"/>
        </w:rPr>
        <w:t>什么是成本性态？简述成本按性态分类在管理会计中的地位。</w:t>
      </w:r>
    </w:p>
    <w:p>
      <w:pPr>
        <w:spacing w:line="320" w:lineRule="exact"/>
        <w:outlineLvl w:val="0"/>
        <w:rPr>
          <w:rFonts w:ascii="宋体" w:hAnsi="宋体"/>
          <w:b/>
          <w:color w:val="000000"/>
          <w:szCs w:val="21"/>
        </w:rPr>
      </w:pPr>
      <w:r>
        <w:rPr>
          <w:rFonts w:hint="eastAsia" w:ascii="宋体" w:hAnsi="宋体"/>
          <w:b/>
          <w:color w:val="000000"/>
          <w:szCs w:val="21"/>
        </w:rPr>
        <w:t>五、计算分析题</w:t>
      </w:r>
    </w:p>
    <w:p>
      <w:pPr>
        <w:rPr>
          <w:rFonts w:hint="eastAsia" w:ascii="宋体" w:hAnsi="宋体" w:cs="宋体"/>
          <w:color w:val="000000"/>
          <w:kern w:val="0"/>
          <w:szCs w:val="21"/>
        </w:rPr>
      </w:pPr>
      <w:r>
        <w:rPr>
          <w:rFonts w:hint="eastAsia" w:ascii="宋体" w:hAnsi="宋体" w:cs="宋体"/>
          <w:color w:val="000000"/>
          <w:kern w:val="0"/>
          <w:szCs w:val="21"/>
        </w:rPr>
        <w:t>1、</w:t>
      </w:r>
      <w:r>
        <w:rPr>
          <w:rFonts w:ascii="宋体" w:hAnsi="宋体" w:cs="宋体"/>
          <w:color w:val="000000"/>
          <w:kern w:val="0"/>
          <w:szCs w:val="21"/>
        </w:rPr>
        <w:t>某企业只生产一种产品，20</w:t>
      </w:r>
      <w:r>
        <w:rPr>
          <w:rFonts w:hint="eastAsia" w:ascii="宋体" w:hAnsi="宋体" w:cs="宋体"/>
          <w:color w:val="000000"/>
          <w:kern w:val="0"/>
          <w:szCs w:val="21"/>
        </w:rPr>
        <w:t>20</w:t>
      </w:r>
      <w:r>
        <w:rPr>
          <w:rFonts w:ascii="宋体" w:hAnsi="宋体" w:cs="宋体"/>
          <w:color w:val="000000"/>
          <w:kern w:val="0"/>
          <w:szCs w:val="21"/>
        </w:rPr>
        <w:t>年的变动成本总额为84000元，产品单价为10 元，变动成本率为60％，获营业利润11000元，假定20</w:t>
      </w:r>
      <w:r>
        <w:rPr>
          <w:rFonts w:hint="eastAsia" w:ascii="宋体" w:hAnsi="宋体" w:cs="宋体"/>
          <w:color w:val="000000"/>
          <w:kern w:val="0"/>
          <w:szCs w:val="21"/>
        </w:rPr>
        <w:t>21</w:t>
      </w:r>
      <w:r>
        <w:rPr>
          <w:rFonts w:ascii="宋体" w:hAnsi="宋体" w:cs="宋体"/>
          <w:color w:val="000000"/>
          <w:kern w:val="0"/>
          <w:szCs w:val="21"/>
        </w:rPr>
        <w:t>年追加投入广告费2000元，其他条件不变，要求：</w:t>
      </w:r>
    </w:p>
    <w:p>
      <w:pPr>
        <w:rPr>
          <w:rFonts w:hint="eastAsia" w:ascii="宋体" w:hAnsi="宋体" w:cs="宋体"/>
          <w:color w:val="000000"/>
          <w:kern w:val="0"/>
          <w:szCs w:val="21"/>
        </w:rPr>
      </w:pPr>
      <w:r>
        <w:rPr>
          <w:rFonts w:ascii="宋体" w:hAnsi="宋体" w:cs="宋体"/>
          <w:color w:val="000000"/>
          <w:kern w:val="0"/>
          <w:szCs w:val="21"/>
        </w:rPr>
        <w:t>　　 (1)计算20</w:t>
      </w:r>
      <w:r>
        <w:rPr>
          <w:rFonts w:hint="eastAsia" w:ascii="宋体" w:hAnsi="宋体" w:cs="宋体"/>
          <w:color w:val="000000"/>
          <w:kern w:val="0"/>
          <w:szCs w:val="21"/>
        </w:rPr>
        <w:t>21</w:t>
      </w:r>
      <w:r>
        <w:rPr>
          <w:rFonts w:ascii="宋体" w:hAnsi="宋体" w:cs="宋体"/>
          <w:color w:val="000000"/>
          <w:kern w:val="0"/>
          <w:szCs w:val="21"/>
        </w:rPr>
        <w:t>年该企业的保本额。</w:t>
      </w:r>
    </w:p>
    <w:p>
      <w:pPr>
        <w:ind w:firstLine="525" w:firstLineChars="250"/>
        <w:rPr>
          <w:rFonts w:hint="eastAsia" w:ascii="宋体" w:hAnsi="宋体" w:cs="宋体"/>
          <w:color w:val="000000"/>
          <w:kern w:val="0"/>
          <w:szCs w:val="21"/>
        </w:rPr>
      </w:pPr>
      <w:r>
        <w:rPr>
          <w:rFonts w:ascii="宋体" w:hAnsi="宋体" w:cs="宋体"/>
          <w:color w:val="000000"/>
          <w:kern w:val="0"/>
          <w:szCs w:val="21"/>
        </w:rPr>
        <w:t>(2)若实现目标利润20000元，则保利额是多少?</w:t>
      </w:r>
    </w:p>
    <w:p>
      <w:pPr>
        <w:spacing w:line="400" w:lineRule="exact"/>
        <w:rPr>
          <w:rFonts w:ascii="宋体" w:hAnsi="宋体" w:cs="宋体"/>
          <w:color w:val="000000"/>
          <w:kern w:val="0"/>
          <w:szCs w:val="21"/>
        </w:rPr>
      </w:pPr>
      <w:r>
        <w:rPr>
          <w:rFonts w:ascii="宋体" w:hAnsi="宋体" w:cs="宋体"/>
          <w:color w:val="000000"/>
          <w:kern w:val="0"/>
          <w:szCs w:val="21"/>
        </w:rPr>
        <w:t>　　 (3)若20</w:t>
      </w:r>
      <w:r>
        <w:rPr>
          <w:rFonts w:hint="eastAsia" w:ascii="宋体" w:hAnsi="宋体" w:cs="宋体"/>
          <w:color w:val="000000"/>
          <w:kern w:val="0"/>
          <w:szCs w:val="21"/>
        </w:rPr>
        <w:t>21</w:t>
      </w:r>
      <w:r>
        <w:rPr>
          <w:rFonts w:ascii="宋体" w:hAnsi="宋体" w:cs="宋体"/>
          <w:color w:val="000000"/>
          <w:kern w:val="0"/>
          <w:szCs w:val="21"/>
        </w:rPr>
        <w:t>年销售量比上年增加20％，则利润是多少?</w:t>
      </w:r>
    </w:p>
    <w:p>
      <w:pPr>
        <w:spacing w:line="400" w:lineRule="exact"/>
        <w:rPr>
          <w:rFonts w:hint="eastAsia" w:ascii="宋体" w:hAnsi="宋体" w:cs="宋体"/>
          <w:color w:val="000000"/>
          <w:kern w:val="0"/>
          <w:szCs w:val="21"/>
        </w:rPr>
      </w:pPr>
    </w:p>
    <w:p>
      <w:pPr>
        <w:spacing w:line="360" w:lineRule="atLeast"/>
        <w:ind w:left="210" w:hanging="210" w:hangingChars="100"/>
        <w:rPr>
          <w:rFonts w:hint="eastAsia"/>
        </w:rPr>
      </w:pPr>
      <w:r>
        <w:rPr>
          <w:rFonts w:hint="eastAsia"/>
        </w:rPr>
        <w:t>2、以下为甲公司的经营情况（金额以千元为单位）：</w:t>
      </w:r>
    </w:p>
    <w:p>
      <w:pPr>
        <w:spacing w:line="360" w:lineRule="atLeast"/>
        <w:ind w:left="210" w:hanging="210" w:hangingChars="100"/>
        <w:rPr>
          <w:rFonts w:hint="eastAsia"/>
        </w:rPr>
      </w:pPr>
    </w:p>
    <w:tbl>
      <w:tblPr>
        <w:tblStyle w:val="8"/>
        <w:tblW w:w="0" w:type="auto"/>
        <w:tblInd w:w="2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662"/>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single" w:color="auto" w:sz="8" w:space="0"/>
              <w:left w:val="nil"/>
              <w:bottom w:val="nil"/>
              <w:right w:val="nil"/>
            </w:tcBorders>
          </w:tcPr>
          <w:p>
            <w:pPr>
              <w:spacing w:line="360" w:lineRule="atLeast"/>
              <w:jc w:val="center"/>
              <w:rPr>
                <w:rFonts w:hint="eastAsia"/>
              </w:rPr>
            </w:pPr>
          </w:p>
        </w:tc>
        <w:tc>
          <w:tcPr>
            <w:tcW w:w="1662" w:type="dxa"/>
            <w:tcBorders>
              <w:top w:val="single" w:color="auto" w:sz="8" w:space="0"/>
              <w:left w:val="nil"/>
              <w:bottom w:val="nil"/>
              <w:right w:val="nil"/>
            </w:tcBorders>
          </w:tcPr>
          <w:p>
            <w:pPr>
              <w:spacing w:line="360" w:lineRule="atLeast"/>
              <w:jc w:val="center"/>
              <w:rPr>
                <w:rFonts w:hint="eastAsia"/>
              </w:rPr>
            </w:pPr>
            <w:r>
              <w:rPr>
                <w:rFonts w:hint="eastAsia"/>
              </w:rPr>
              <w:t>营业部A</w:t>
            </w:r>
          </w:p>
        </w:tc>
        <w:tc>
          <w:tcPr>
            <w:tcW w:w="1218" w:type="dxa"/>
            <w:tcBorders>
              <w:top w:val="single" w:color="auto" w:sz="8" w:space="0"/>
              <w:left w:val="nil"/>
              <w:bottom w:val="nil"/>
              <w:right w:val="nil"/>
            </w:tcBorders>
          </w:tcPr>
          <w:p>
            <w:pPr>
              <w:spacing w:line="360" w:lineRule="atLeast"/>
              <w:jc w:val="center"/>
              <w:rPr>
                <w:rFonts w:hint="eastAsia"/>
              </w:rPr>
            </w:pPr>
            <w:r>
              <w:rPr>
                <w:rFonts w:hint="eastAsia"/>
              </w:rPr>
              <w:t>营业部B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nil"/>
              <w:left w:val="nil"/>
              <w:bottom w:val="nil"/>
              <w:right w:val="nil"/>
            </w:tcBorders>
          </w:tcPr>
          <w:p>
            <w:pPr>
              <w:spacing w:line="360" w:lineRule="atLeast"/>
              <w:jc w:val="center"/>
              <w:rPr>
                <w:rFonts w:hint="eastAsia"/>
              </w:rPr>
            </w:pPr>
            <w:r>
              <w:rPr>
                <w:rFonts w:hint="eastAsia"/>
              </w:rPr>
              <w:t>经营资产</w:t>
            </w:r>
          </w:p>
        </w:tc>
        <w:tc>
          <w:tcPr>
            <w:tcW w:w="1662" w:type="dxa"/>
            <w:tcBorders>
              <w:top w:val="nil"/>
              <w:left w:val="nil"/>
              <w:bottom w:val="nil"/>
              <w:right w:val="nil"/>
            </w:tcBorders>
          </w:tcPr>
          <w:p>
            <w:pPr>
              <w:spacing w:line="360" w:lineRule="atLeast"/>
              <w:jc w:val="center"/>
              <w:rPr>
                <w:rFonts w:hint="eastAsia"/>
              </w:rPr>
            </w:pPr>
            <w:r>
              <w:rPr>
                <w:rFonts w:hint="eastAsia"/>
              </w:rPr>
              <w:t>10</w:t>
            </w:r>
            <w:r>
              <w:t>,</w:t>
            </w:r>
            <w:r>
              <w:rPr>
                <w:rFonts w:hint="eastAsia"/>
              </w:rPr>
              <w:t>000</w:t>
            </w:r>
          </w:p>
        </w:tc>
        <w:tc>
          <w:tcPr>
            <w:tcW w:w="1218" w:type="dxa"/>
            <w:tcBorders>
              <w:top w:val="nil"/>
              <w:left w:val="nil"/>
              <w:bottom w:val="nil"/>
              <w:right w:val="nil"/>
            </w:tcBorders>
          </w:tcPr>
          <w:p>
            <w:pPr>
              <w:spacing w:line="360" w:lineRule="atLeast"/>
              <w:jc w:val="center"/>
              <w:rPr>
                <w:rFonts w:hint="eastAsia"/>
              </w:rPr>
            </w:pPr>
            <w:r>
              <w:rPr>
                <w:rFonts w:hint="eastAsia"/>
              </w:rPr>
              <w:t>25</w:t>
            </w:r>
            <w:r>
              <w:t>,</w:t>
            </w:r>
            <w:r>
              <w:rPr>
                <w:rFonts w:hint="eastAsi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nil"/>
              <w:left w:val="nil"/>
              <w:bottom w:val="nil"/>
              <w:right w:val="nil"/>
            </w:tcBorders>
          </w:tcPr>
          <w:p>
            <w:pPr>
              <w:spacing w:line="360" w:lineRule="atLeast"/>
              <w:jc w:val="center"/>
              <w:rPr>
                <w:rFonts w:hint="eastAsia"/>
              </w:rPr>
            </w:pPr>
            <w:r>
              <w:rPr>
                <w:rFonts w:hint="eastAsia"/>
              </w:rPr>
              <w:t>税后利润</w:t>
            </w:r>
          </w:p>
        </w:tc>
        <w:tc>
          <w:tcPr>
            <w:tcW w:w="1662" w:type="dxa"/>
            <w:tcBorders>
              <w:top w:val="nil"/>
              <w:left w:val="nil"/>
              <w:bottom w:val="nil"/>
              <w:right w:val="nil"/>
            </w:tcBorders>
          </w:tcPr>
          <w:p>
            <w:pPr>
              <w:spacing w:line="360" w:lineRule="atLeast"/>
              <w:jc w:val="center"/>
              <w:rPr>
                <w:rFonts w:hint="eastAsia"/>
              </w:rPr>
            </w:pPr>
            <w:r>
              <w:rPr>
                <w:rFonts w:hint="eastAsia"/>
              </w:rPr>
              <w:t>2</w:t>
            </w:r>
            <w:r>
              <w:t>,</w:t>
            </w:r>
            <w:r>
              <w:rPr>
                <w:rFonts w:hint="eastAsia"/>
              </w:rPr>
              <w:t>000</w:t>
            </w:r>
          </w:p>
        </w:tc>
        <w:tc>
          <w:tcPr>
            <w:tcW w:w="1218" w:type="dxa"/>
            <w:tcBorders>
              <w:top w:val="nil"/>
              <w:left w:val="nil"/>
              <w:bottom w:val="nil"/>
              <w:right w:val="nil"/>
            </w:tcBorders>
          </w:tcPr>
          <w:p>
            <w:pPr>
              <w:spacing w:line="360" w:lineRule="atLeast"/>
              <w:jc w:val="center"/>
              <w:rPr>
                <w:rFonts w:hint="eastAsia"/>
              </w:rPr>
            </w:pPr>
            <w:r>
              <w:rPr>
                <w:rFonts w:hint="eastAsia"/>
              </w:rPr>
              <w:t>4</w:t>
            </w:r>
            <w:r>
              <w:t>,</w:t>
            </w:r>
            <w:r>
              <w:rPr>
                <w:rFonts w:hint="eastAsia"/>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nil"/>
              <w:left w:val="nil"/>
              <w:bottom w:val="single" w:color="auto" w:sz="8" w:space="0"/>
              <w:right w:val="nil"/>
            </w:tcBorders>
          </w:tcPr>
          <w:p>
            <w:pPr>
              <w:spacing w:line="360" w:lineRule="atLeast"/>
              <w:jc w:val="center"/>
              <w:rPr>
                <w:rFonts w:hint="eastAsia"/>
              </w:rPr>
            </w:pPr>
            <w:r>
              <w:rPr>
                <w:rFonts w:hint="eastAsia"/>
              </w:rPr>
              <w:t>投资利润率</w:t>
            </w:r>
          </w:p>
        </w:tc>
        <w:tc>
          <w:tcPr>
            <w:tcW w:w="1662" w:type="dxa"/>
            <w:tcBorders>
              <w:top w:val="nil"/>
              <w:left w:val="nil"/>
              <w:bottom w:val="single" w:color="auto" w:sz="8" w:space="0"/>
              <w:right w:val="nil"/>
            </w:tcBorders>
          </w:tcPr>
          <w:p>
            <w:pPr>
              <w:spacing w:line="360" w:lineRule="atLeast"/>
              <w:jc w:val="center"/>
              <w:rPr>
                <w:rFonts w:hint="eastAsia"/>
              </w:rPr>
            </w:pPr>
            <w:r>
              <w:rPr>
                <w:rFonts w:hint="eastAsia"/>
              </w:rPr>
              <w:t>20％</w:t>
            </w:r>
          </w:p>
        </w:tc>
        <w:tc>
          <w:tcPr>
            <w:tcW w:w="1218" w:type="dxa"/>
            <w:tcBorders>
              <w:top w:val="nil"/>
              <w:left w:val="nil"/>
              <w:bottom w:val="single" w:color="auto" w:sz="8" w:space="0"/>
              <w:right w:val="nil"/>
            </w:tcBorders>
          </w:tcPr>
          <w:p>
            <w:pPr>
              <w:spacing w:line="360" w:lineRule="atLeast"/>
              <w:jc w:val="center"/>
              <w:rPr>
                <w:rFonts w:hint="eastAsia"/>
              </w:rPr>
            </w:pPr>
            <w:r>
              <w:rPr>
                <w:rFonts w:hint="eastAsia"/>
              </w:rPr>
              <w:t>18％</w:t>
            </w:r>
          </w:p>
        </w:tc>
      </w:tr>
    </w:tbl>
    <w:p>
      <w:pPr>
        <w:spacing w:line="360" w:lineRule="atLeast"/>
        <w:ind w:left="210" w:hanging="210" w:hangingChars="100"/>
        <w:rPr>
          <w:rFonts w:hint="eastAsia"/>
        </w:rPr>
      </w:pPr>
      <w:r>
        <w:rPr>
          <w:rFonts w:hint="eastAsia"/>
        </w:rPr>
        <w:t>　要求：（1）两个营业部中，若以投资利润率为评价依据，则何部更成功？</w:t>
      </w:r>
    </w:p>
    <w:p>
      <w:pPr>
        <w:spacing w:line="360" w:lineRule="atLeast"/>
        <w:ind w:firstLine="525" w:firstLineChars="250"/>
        <w:rPr>
          <w:rFonts w:hint="eastAsia"/>
        </w:rPr>
      </w:pPr>
      <w:r>
        <w:rPr>
          <w:rFonts w:hint="eastAsia"/>
        </w:rPr>
        <w:t>（2）设该公司确定的最低报酬率为15％，请计算两个营业部的剩余利润。</w:t>
      </w:r>
    </w:p>
    <w:p>
      <w:pPr>
        <w:rPr>
          <w:rFonts w:hint="eastAsia" w:ascii="宋体" w:hAnsi="宋体"/>
          <w:szCs w:val="21"/>
        </w:rPr>
      </w:pPr>
    </w:p>
    <w:p>
      <w:pPr>
        <w:rPr>
          <w:rFonts w:hint="eastAsia" w:ascii="宋体" w:hAnsi="宋体"/>
          <w:szCs w:val="21"/>
        </w:rPr>
      </w:pPr>
    </w:p>
    <w:p>
      <w:pPr>
        <w:rPr>
          <w:rFonts w:hint="eastAsia" w:ascii="宋体" w:hAnsi="宋体"/>
          <w:szCs w:val="21"/>
        </w:rPr>
      </w:pPr>
      <w:r>
        <w:rPr>
          <w:rFonts w:hint="eastAsia" w:ascii="宋体" w:hAnsi="宋体"/>
          <w:szCs w:val="21"/>
        </w:rPr>
        <w:t>3、某企业计划购置一台设备进行生产，该设备买价90</w:t>
      </w:r>
      <w:r>
        <w:rPr>
          <w:rFonts w:ascii="宋体" w:hAnsi="宋体"/>
          <w:szCs w:val="21"/>
        </w:rPr>
        <w:t>,</w:t>
      </w:r>
      <w:r>
        <w:rPr>
          <w:rFonts w:hint="eastAsia" w:ascii="宋体" w:hAnsi="宋体"/>
          <w:szCs w:val="21"/>
        </w:rPr>
        <w:t>000元，可使用5年，每年可以获得税后利润12</w:t>
      </w:r>
      <w:r>
        <w:rPr>
          <w:rFonts w:ascii="宋体" w:hAnsi="宋体"/>
          <w:szCs w:val="21"/>
        </w:rPr>
        <w:t>,</w:t>
      </w:r>
      <w:r>
        <w:rPr>
          <w:rFonts w:hint="eastAsia" w:ascii="宋体" w:hAnsi="宋体"/>
          <w:szCs w:val="21"/>
        </w:rPr>
        <w:t>000元。若设备在使用期满后无残值，按直线法计提折旧，试分别计算该方案的静态回收期、净现值和内含报酬率（资金成本即折现率为10%）。</w:t>
      </w:r>
    </w:p>
    <w:p>
      <w:pPr>
        <w:jc w:val="center"/>
        <w:rPr>
          <w:rFonts w:hint="eastAsia" w:ascii="宋体" w:hAnsi="宋体"/>
          <w:szCs w:val="21"/>
        </w:rPr>
      </w:pPr>
      <w:r>
        <w:rPr>
          <w:rFonts w:hint="eastAsia" w:ascii="宋体" w:hAnsi="宋体"/>
          <w:szCs w:val="21"/>
        </w:rPr>
        <w:t>一元的复利现值和年金现值系数</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418"/>
        <w:gridCol w:w="1417"/>
        <w:gridCol w:w="1418"/>
        <w:gridCol w:w="141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jc w:val="center"/>
              <w:rPr>
                <w:rFonts w:hint="eastAsia" w:ascii="宋体" w:hAnsi="宋体"/>
                <w:szCs w:val="21"/>
              </w:rPr>
            </w:pPr>
            <w:r>
              <w:rPr>
                <w:rFonts w:hint="eastAsia" w:ascii="宋体" w:hAnsi="宋体"/>
                <w:szCs w:val="21"/>
              </w:rPr>
              <w:t>10%的利率</w:t>
            </w:r>
          </w:p>
        </w:tc>
        <w:tc>
          <w:tcPr>
            <w:tcW w:w="1418" w:type="dxa"/>
          </w:tcPr>
          <w:p>
            <w:pPr>
              <w:jc w:val="center"/>
              <w:rPr>
                <w:rFonts w:hint="eastAsia" w:ascii="宋体" w:hAnsi="宋体"/>
                <w:szCs w:val="21"/>
              </w:rPr>
            </w:pPr>
            <w:r>
              <w:rPr>
                <w:rFonts w:hint="eastAsia" w:ascii="宋体" w:hAnsi="宋体"/>
                <w:szCs w:val="21"/>
              </w:rPr>
              <w:t>1年</w:t>
            </w:r>
          </w:p>
        </w:tc>
        <w:tc>
          <w:tcPr>
            <w:tcW w:w="1417" w:type="dxa"/>
          </w:tcPr>
          <w:p>
            <w:pPr>
              <w:jc w:val="center"/>
              <w:rPr>
                <w:rFonts w:hint="eastAsia" w:ascii="宋体" w:hAnsi="宋体"/>
                <w:szCs w:val="21"/>
              </w:rPr>
            </w:pPr>
            <w:r>
              <w:rPr>
                <w:rFonts w:hint="eastAsia" w:ascii="宋体" w:hAnsi="宋体"/>
                <w:szCs w:val="21"/>
              </w:rPr>
              <w:t>2年</w:t>
            </w:r>
          </w:p>
        </w:tc>
        <w:tc>
          <w:tcPr>
            <w:tcW w:w="1418" w:type="dxa"/>
          </w:tcPr>
          <w:p>
            <w:pPr>
              <w:jc w:val="center"/>
              <w:rPr>
                <w:rFonts w:hint="eastAsia" w:ascii="宋体" w:hAnsi="宋体"/>
                <w:szCs w:val="21"/>
              </w:rPr>
            </w:pPr>
            <w:r>
              <w:rPr>
                <w:rFonts w:hint="eastAsia" w:ascii="宋体" w:hAnsi="宋体"/>
                <w:szCs w:val="21"/>
              </w:rPr>
              <w:t>3年</w:t>
            </w:r>
          </w:p>
        </w:tc>
        <w:tc>
          <w:tcPr>
            <w:tcW w:w="1417" w:type="dxa"/>
          </w:tcPr>
          <w:p>
            <w:pPr>
              <w:jc w:val="center"/>
              <w:rPr>
                <w:rFonts w:hint="eastAsia" w:ascii="宋体" w:hAnsi="宋体"/>
                <w:szCs w:val="21"/>
              </w:rPr>
            </w:pPr>
            <w:r>
              <w:rPr>
                <w:rFonts w:hint="eastAsia" w:ascii="宋体" w:hAnsi="宋体"/>
                <w:szCs w:val="21"/>
              </w:rPr>
              <w:t>4年</w:t>
            </w:r>
          </w:p>
        </w:tc>
        <w:tc>
          <w:tcPr>
            <w:tcW w:w="1418" w:type="dxa"/>
          </w:tcPr>
          <w:p>
            <w:pPr>
              <w:jc w:val="center"/>
              <w:rPr>
                <w:rFonts w:hint="eastAsia" w:ascii="宋体" w:hAnsi="宋体"/>
                <w:szCs w:val="21"/>
              </w:rPr>
            </w:pPr>
            <w:r>
              <w:rPr>
                <w:rFonts w:hint="eastAsia" w:ascii="宋体" w:hAnsi="宋体"/>
                <w:szCs w:val="21"/>
              </w:rPr>
              <w:t>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jc w:val="center"/>
              <w:rPr>
                <w:rFonts w:hint="eastAsia" w:ascii="宋体" w:hAnsi="宋体"/>
                <w:szCs w:val="21"/>
              </w:rPr>
            </w:pPr>
            <w:r>
              <w:rPr>
                <w:rFonts w:hint="eastAsia" w:ascii="宋体" w:hAnsi="宋体"/>
                <w:szCs w:val="21"/>
              </w:rPr>
              <w:t>复利现值</w:t>
            </w:r>
          </w:p>
        </w:tc>
        <w:tc>
          <w:tcPr>
            <w:tcW w:w="1418" w:type="dxa"/>
          </w:tcPr>
          <w:p>
            <w:pPr>
              <w:jc w:val="center"/>
              <w:rPr>
                <w:rFonts w:hint="eastAsia" w:ascii="宋体" w:hAnsi="宋体"/>
                <w:szCs w:val="21"/>
              </w:rPr>
            </w:pPr>
            <w:r>
              <w:rPr>
                <w:rFonts w:hint="eastAsia" w:ascii="宋体" w:hAnsi="宋体"/>
                <w:szCs w:val="21"/>
              </w:rPr>
              <w:t>0</w:t>
            </w:r>
            <w:r>
              <w:rPr>
                <w:rFonts w:ascii="宋体" w:hAnsi="宋体"/>
                <w:szCs w:val="21"/>
              </w:rPr>
              <w:t>.</w:t>
            </w:r>
            <w:r>
              <w:rPr>
                <w:rFonts w:hint="eastAsia" w:ascii="宋体" w:hAnsi="宋体"/>
                <w:szCs w:val="21"/>
              </w:rPr>
              <w:t>909</w:t>
            </w:r>
          </w:p>
        </w:tc>
        <w:tc>
          <w:tcPr>
            <w:tcW w:w="1417" w:type="dxa"/>
          </w:tcPr>
          <w:p>
            <w:pPr>
              <w:jc w:val="center"/>
              <w:rPr>
                <w:rFonts w:ascii="宋体" w:hAnsi="宋体"/>
                <w:szCs w:val="21"/>
              </w:rPr>
            </w:pPr>
            <w:r>
              <w:rPr>
                <w:rFonts w:hint="eastAsia" w:ascii="宋体" w:hAnsi="宋体"/>
                <w:szCs w:val="21"/>
              </w:rPr>
              <w:t>0.826</w:t>
            </w:r>
          </w:p>
        </w:tc>
        <w:tc>
          <w:tcPr>
            <w:tcW w:w="1418" w:type="dxa"/>
          </w:tcPr>
          <w:p>
            <w:pPr>
              <w:jc w:val="center"/>
              <w:rPr>
                <w:rFonts w:ascii="宋体" w:hAnsi="宋体"/>
                <w:szCs w:val="21"/>
              </w:rPr>
            </w:pPr>
            <w:r>
              <w:rPr>
                <w:rFonts w:hint="eastAsia" w:ascii="宋体" w:hAnsi="宋体"/>
                <w:szCs w:val="21"/>
              </w:rPr>
              <w:t>0.751</w:t>
            </w:r>
          </w:p>
        </w:tc>
        <w:tc>
          <w:tcPr>
            <w:tcW w:w="1417" w:type="dxa"/>
          </w:tcPr>
          <w:p>
            <w:pPr>
              <w:jc w:val="center"/>
              <w:rPr>
                <w:rFonts w:ascii="宋体" w:hAnsi="宋体"/>
                <w:szCs w:val="21"/>
              </w:rPr>
            </w:pPr>
            <w:r>
              <w:rPr>
                <w:rFonts w:hint="eastAsia" w:ascii="宋体" w:hAnsi="宋体"/>
                <w:szCs w:val="21"/>
              </w:rPr>
              <w:t>0.683</w:t>
            </w:r>
          </w:p>
        </w:tc>
        <w:tc>
          <w:tcPr>
            <w:tcW w:w="1418" w:type="dxa"/>
          </w:tcPr>
          <w:p>
            <w:pPr>
              <w:jc w:val="center"/>
              <w:rPr>
                <w:rFonts w:ascii="宋体" w:hAnsi="宋体"/>
                <w:szCs w:val="21"/>
              </w:rPr>
            </w:pPr>
            <w:r>
              <w:rPr>
                <w:rFonts w:hint="eastAsia" w:ascii="宋体" w:hAnsi="宋体"/>
                <w:szCs w:val="21"/>
              </w:rPr>
              <w:t>0.621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jc w:val="center"/>
              <w:rPr>
                <w:rFonts w:hint="eastAsia" w:ascii="宋体" w:hAnsi="宋体"/>
                <w:szCs w:val="21"/>
              </w:rPr>
            </w:pPr>
            <w:r>
              <w:rPr>
                <w:rFonts w:hint="eastAsia" w:ascii="宋体" w:hAnsi="宋体"/>
                <w:szCs w:val="21"/>
              </w:rPr>
              <w:t>年金现值</w:t>
            </w:r>
          </w:p>
        </w:tc>
        <w:tc>
          <w:tcPr>
            <w:tcW w:w="1418" w:type="dxa"/>
          </w:tcPr>
          <w:p>
            <w:pPr>
              <w:jc w:val="center"/>
              <w:rPr>
                <w:rFonts w:hint="eastAsia" w:ascii="宋体" w:hAnsi="宋体"/>
                <w:szCs w:val="21"/>
              </w:rPr>
            </w:pPr>
            <w:r>
              <w:rPr>
                <w:rFonts w:hint="eastAsia" w:ascii="宋体" w:hAnsi="宋体"/>
                <w:szCs w:val="21"/>
              </w:rPr>
              <w:t>0.909</w:t>
            </w:r>
          </w:p>
        </w:tc>
        <w:tc>
          <w:tcPr>
            <w:tcW w:w="1417" w:type="dxa"/>
          </w:tcPr>
          <w:p>
            <w:pPr>
              <w:jc w:val="center"/>
              <w:rPr>
                <w:rFonts w:hint="eastAsia" w:ascii="宋体" w:hAnsi="宋体"/>
                <w:szCs w:val="21"/>
              </w:rPr>
            </w:pPr>
            <w:r>
              <w:rPr>
                <w:rFonts w:hint="eastAsia" w:ascii="宋体" w:hAnsi="宋体"/>
                <w:szCs w:val="21"/>
              </w:rPr>
              <w:t>1.736</w:t>
            </w:r>
          </w:p>
        </w:tc>
        <w:tc>
          <w:tcPr>
            <w:tcW w:w="1418" w:type="dxa"/>
          </w:tcPr>
          <w:p>
            <w:pPr>
              <w:jc w:val="center"/>
              <w:rPr>
                <w:rFonts w:ascii="宋体" w:hAnsi="宋体"/>
                <w:szCs w:val="21"/>
              </w:rPr>
            </w:pPr>
            <w:r>
              <w:rPr>
                <w:rFonts w:ascii="宋体" w:hAnsi="宋体"/>
                <w:szCs w:val="21"/>
              </w:rPr>
              <w:t>2.487</w:t>
            </w:r>
          </w:p>
        </w:tc>
        <w:tc>
          <w:tcPr>
            <w:tcW w:w="1417" w:type="dxa"/>
          </w:tcPr>
          <w:p>
            <w:pPr>
              <w:jc w:val="center"/>
              <w:rPr>
                <w:rFonts w:ascii="宋体" w:hAnsi="宋体"/>
                <w:szCs w:val="21"/>
              </w:rPr>
            </w:pPr>
            <w:r>
              <w:rPr>
                <w:rFonts w:ascii="宋体" w:hAnsi="宋体"/>
                <w:szCs w:val="21"/>
              </w:rPr>
              <w:t>3.170</w:t>
            </w:r>
          </w:p>
        </w:tc>
        <w:tc>
          <w:tcPr>
            <w:tcW w:w="1418" w:type="dxa"/>
          </w:tcPr>
          <w:p>
            <w:pPr>
              <w:jc w:val="center"/>
              <w:rPr>
                <w:rFonts w:ascii="宋体" w:hAnsi="宋体"/>
                <w:szCs w:val="21"/>
              </w:rPr>
            </w:pPr>
            <w:r>
              <w:rPr>
                <w:rFonts w:ascii="宋体" w:hAnsi="宋体"/>
                <w:szCs w:val="21"/>
              </w:rPr>
              <w:t>3.791</w:t>
            </w:r>
          </w:p>
        </w:tc>
      </w:tr>
    </w:tbl>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tabs>
          <w:tab w:val="decimal" w:pos="0"/>
        </w:tabs>
        <w:jc w:val="center"/>
        <w:rPr>
          <w:rFonts w:hint="default"/>
          <w:b/>
          <w:sz w:val="24"/>
          <w:lang w:val="en-US" w:eastAsia="zh-CN"/>
        </w:rPr>
      </w:pPr>
      <w:r>
        <w:rPr>
          <w:rFonts w:hint="eastAsia"/>
          <w:b/>
          <w:sz w:val="24"/>
        </w:rPr>
        <w:t>管理会计</w:t>
      </w:r>
      <w:r>
        <w:rPr>
          <w:rFonts w:hint="eastAsia"/>
          <w:b/>
          <w:sz w:val="24"/>
          <w:lang w:eastAsia="zh-CN"/>
        </w:rPr>
        <w:t>复习资料答案</w:t>
      </w:r>
    </w:p>
    <w:p>
      <w:pPr>
        <w:tabs>
          <w:tab w:val="decimal" w:pos="0"/>
        </w:tabs>
        <w:jc w:val="center"/>
        <w:rPr>
          <w:rFonts w:hint="eastAsia" w:ascii="宋体" w:hAnsi="宋体"/>
          <w:b/>
          <w:sz w:val="24"/>
        </w:rPr>
      </w:pPr>
    </w:p>
    <w:p>
      <w:pPr>
        <w:pStyle w:val="3"/>
        <w:tabs>
          <w:tab w:val="left" w:pos="840"/>
        </w:tabs>
        <w:spacing w:before="0" w:beforeAutospacing="0" w:after="0" w:afterAutospacing="0"/>
        <w:rPr>
          <w:b/>
          <w:bCs/>
          <w:sz w:val="21"/>
          <w:szCs w:val="21"/>
        </w:rPr>
      </w:pPr>
      <w:r>
        <w:rPr>
          <w:rFonts w:hint="eastAsia"/>
          <w:b/>
          <w:sz w:val="21"/>
          <w:szCs w:val="21"/>
        </w:rPr>
        <w:t>一、单项选择题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ascii="宋体" w:hAnsi="宋体"/>
                <w:sz w:val="24"/>
              </w:rPr>
              <w:t>A</w:t>
            </w:r>
          </w:p>
        </w:tc>
        <w:tc>
          <w:tcPr>
            <w:tcW w:w="800" w:type="dxa"/>
            <w:vAlign w:val="center"/>
          </w:tcPr>
          <w:p>
            <w:pPr>
              <w:jc w:val="center"/>
              <w:rPr>
                <w:rFonts w:ascii="宋体" w:hAnsi="宋体"/>
                <w:sz w:val="24"/>
              </w:rPr>
            </w:pPr>
            <w:r>
              <w:rPr>
                <w:rFonts w:ascii="宋体" w:hAnsi="宋体"/>
                <w:sz w:val="24"/>
              </w:rPr>
              <w:t>B</w:t>
            </w:r>
          </w:p>
        </w:tc>
        <w:tc>
          <w:tcPr>
            <w:tcW w:w="801"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p>
        </w:tc>
        <w:tc>
          <w:tcPr>
            <w:tcW w:w="800" w:type="dxa"/>
            <w:vAlign w:val="center"/>
          </w:tcPr>
          <w:p>
            <w:pPr>
              <w:jc w:val="center"/>
              <w:rPr>
                <w:rFonts w:ascii="宋体" w:hAnsi="宋体"/>
                <w:sz w:val="24"/>
              </w:rPr>
            </w:pPr>
            <w:r>
              <w:rPr>
                <w:rFonts w:hint="eastAsia" w:ascii="宋体" w:hAnsi="宋体"/>
                <w:sz w:val="24"/>
              </w:rPr>
              <w:t>D</w:t>
            </w:r>
          </w:p>
        </w:tc>
        <w:tc>
          <w:tcPr>
            <w:tcW w:w="800" w:type="dxa"/>
            <w:vAlign w:val="center"/>
          </w:tcPr>
          <w:p>
            <w:pPr>
              <w:jc w:val="center"/>
              <w:rPr>
                <w:rFonts w:ascii="宋体" w:hAnsi="宋体"/>
                <w:sz w:val="24"/>
              </w:rPr>
            </w:pPr>
            <w:r>
              <w:rPr>
                <w:rFonts w:hint="eastAsia" w:ascii="宋体" w:hAnsi="宋体"/>
                <w:sz w:val="24"/>
              </w:rPr>
              <w:t>A</w:t>
            </w:r>
          </w:p>
        </w:tc>
        <w:tc>
          <w:tcPr>
            <w:tcW w:w="800" w:type="dxa"/>
            <w:vAlign w:val="center"/>
          </w:tcPr>
          <w:p>
            <w:pPr>
              <w:jc w:val="center"/>
              <w:rPr>
                <w:rFonts w:ascii="宋体" w:hAnsi="宋体"/>
                <w:sz w:val="24"/>
              </w:rPr>
            </w:pPr>
            <w:r>
              <w:rPr>
                <w:rFonts w:ascii="宋体" w:hAnsi="宋体"/>
                <w:sz w:val="24"/>
              </w:rPr>
              <w:t>B</w:t>
            </w:r>
          </w:p>
        </w:tc>
        <w:tc>
          <w:tcPr>
            <w:tcW w:w="800" w:type="dxa"/>
            <w:vAlign w:val="center"/>
          </w:tcPr>
          <w:p>
            <w:pPr>
              <w:jc w:val="center"/>
              <w:rPr>
                <w:rFonts w:ascii="宋体" w:hAnsi="宋体"/>
                <w:sz w:val="24"/>
              </w:rPr>
            </w:pPr>
            <w:r>
              <w:rPr>
                <w:rFonts w:ascii="宋体" w:hAnsi="宋体"/>
                <w:sz w:val="24"/>
              </w:rPr>
              <w:t>C</w:t>
            </w:r>
          </w:p>
        </w:tc>
        <w:tc>
          <w:tcPr>
            <w:tcW w:w="80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11</w:t>
            </w:r>
          </w:p>
        </w:tc>
        <w:tc>
          <w:tcPr>
            <w:tcW w:w="800" w:type="dxa"/>
            <w:vAlign w:val="center"/>
          </w:tcPr>
          <w:p>
            <w:pPr>
              <w:jc w:val="center"/>
              <w:rPr>
                <w:rFonts w:ascii="宋体" w:hAnsi="宋体"/>
                <w:sz w:val="24"/>
              </w:rPr>
            </w:pPr>
            <w:r>
              <w:rPr>
                <w:rFonts w:hint="eastAsia" w:ascii="宋体" w:hAnsi="宋体"/>
                <w:sz w:val="24"/>
              </w:rPr>
              <w:t>12</w:t>
            </w:r>
          </w:p>
        </w:tc>
        <w:tc>
          <w:tcPr>
            <w:tcW w:w="801" w:type="dxa"/>
            <w:vAlign w:val="center"/>
          </w:tcPr>
          <w:p>
            <w:pPr>
              <w:jc w:val="center"/>
              <w:rPr>
                <w:rFonts w:ascii="宋体" w:hAnsi="宋体"/>
                <w:sz w:val="24"/>
              </w:rPr>
            </w:pPr>
            <w:r>
              <w:rPr>
                <w:rFonts w:hint="eastAsia" w:ascii="宋体" w:hAnsi="宋体"/>
                <w:sz w:val="24"/>
              </w:rPr>
              <w:t>13</w:t>
            </w:r>
          </w:p>
        </w:tc>
        <w:tc>
          <w:tcPr>
            <w:tcW w:w="801" w:type="dxa"/>
            <w:vAlign w:val="center"/>
          </w:tcPr>
          <w:p>
            <w:pPr>
              <w:jc w:val="center"/>
              <w:rPr>
                <w:rFonts w:ascii="宋体" w:hAnsi="宋体"/>
                <w:sz w:val="24"/>
              </w:rPr>
            </w:pPr>
            <w:r>
              <w:rPr>
                <w:rFonts w:hint="eastAsia" w:ascii="宋体" w:hAnsi="宋体"/>
                <w:sz w:val="24"/>
              </w:rPr>
              <w:t>14</w:t>
            </w:r>
          </w:p>
        </w:tc>
        <w:tc>
          <w:tcPr>
            <w:tcW w:w="801" w:type="dxa"/>
            <w:vAlign w:val="center"/>
          </w:tcPr>
          <w:p>
            <w:pPr>
              <w:jc w:val="center"/>
              <w:rPr>
                <w:rFonts w:ascii="宋体" w:hAnsi="宋体"/>
                <w:sz w:val="24"/>
              </w:rPr>
            </w:pPr>
            <w:r>
              <w:rPr>
                <w:rFonts w:hint="eastAsia" w:ascii="宋体" w:hAnsi="宋体"/>
                <w:sz w:val="24"/>
              </w:rPr>
              <w:t>15</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D</w:t>
            </w:r>
          </w:p>
        </w:tc>
        <w:tc>
          <w:tcPr>
            <w:tcW w:w="800" w:type="dxa"/>
            <w:vAlign w:val="center"/>
          </w:tcPr>
          <w:p>
            <w:pPr>
              <w:jc w:val="center"/>
              <w:rPr>
                <w:rFonts w:ascii="宋体" w:hAnsi="宋体"/>
                <w:sz w:val="24"/>
              </w:rPr>
            </w:pPr>
            <w:r>
              <w:rPr>
                <w:rFonts w:hint="eastAsia" w:ascii="宋体" w:hAnsi="宋体"/>
                <w:sz w:val="24"/>
              </w:rPr>
              <w:t>A</w:t>
            </w:r>
          </w:p>
        </w:tc>
        <w:tc>
          <w:tcPr>
            <w:tcW w:w="801" w:type="dxa"/>
            <w:vAlign w:val="center"/>
          </w:tcPr>
          <w:p>
            <w:pPr>
              <w:jc w:val="center"/>
              <w:rPr>
                <w:rFonts w:ascii="宋体" w:hAnsi="宋体"/>
                <w:sz w:val="24"/>
              </w:rPr>
            </w:pPr>
            <w:r>
              <w:rPr>
                <w:rFonts w:hint="eastAsia" w:ascii="宋体" w:hAnsi="宋体"/>
                <w:sz w:val="24"/>
              </w:rPr>
              <w:t>B</w:t>
            </w:r>
          </w:p>
        </w:tc>
        <w:tc>
          <w:tcPr>
            <w:tcW w:w="801" w:type="dxa"/>
            <w:vAlign w:val="center"/>
          </w:tcPr>
          <w:p>
            <w:pPr>
              <w:jc w:val="center"/>
              <w:rPr>
                <w:rFonts w:ascii="宋体" w:hAnsi="宋体"/>
                <w:sz w:val="24"/>
              </w:rPr>
            </w:pPr>
            <w:r>
              <w:rPr>
                <w:rFonts w:hint="eastAsia" w:ascii="宋体" w:hAnsi="宋体"/>
                <w:sz w:val="24"/>
              </w:rPr>
              <w:t>D</w:t>
            </w:r>
          </w:p>
        </w:tc>
        <w:tc>
          <w:tcPr>
            <w:tcW w:w="801"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二、判断题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szCs w:val="21"/>
              </w:rPr>
              <w:t>√</w:t>
            </w:r>
          </w:p>
        </w:tc>
        <w:tc>
          <w:tcPr>
            <w:tcW w:w="800"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三、名词解释</w:t>
      </w:r>
    </w:p>
    <w:p>
      <w:pPr>
        <w:pStyle w:val="3"/>
        <w:tabs>
          <w:tab w:val="left" w:pos="840"/>
        </w:tabs>
        <w:spacing w:before="0" w:beforeAutospacing="0" w:after="0" w:afterAutospacing="0"/>
        <w:rPr>
          <w:sz w:val="21"/>
          <w:szCs w:val="21"/>
        </w:rPr>
      </w:pPr>
      <w:r>
        <w:rPr>
          <w:rFonts w:hint="eastAsia"/>
          <w:sz w:val="21"/>
          <w:szCs w:val="21"/>
        </w:rPr>
        <w:t>1、管理会计：管理会计是指在当代市场经济条件下，以强化内部经营管理、实现最佳经济效益为最终目的，以现代企业经营活动及其价值表现为对象，通过对财务等信息的深加工和再利用，实现对经济过程的预测、决策、规划、控制、责任考核评价等职能的一个会计分支。</w:t>
      </w:r>
    </w:p>
    <w:p>
      <w:pPr>
        <w:pStyle w:val="3"/>
        <w:tabs>
          <w:tab w:val="left" w:pos="840"/>
        </w:tabs>
        <w:spacing w:before="0" w:beforeAutospacing="0" w:after="0" w:afterAutospacing="0"/>
        <w:rPr>
          <w:sz w:val="21"/>
          <w:szCs w:val="21"/>
        </w:rPr>
      </w:pPr>
      <w:r>
        <w:rPr>
          <w:rFonts w:hint="eastAsia"/>
          <w:sz w:val="21"/>
          <w:szCs w:val="21"/>
        </w:rPr>
        <w:t>2、变动成本：指在一定相关范围内，其总额随业务量成正比例变化的那部分成本。</w:t>
      </w:r>
    </w:p>
    <w:p>
      <w:pPr>
        <w:pStyle w:val="3"/>
        <w:tabs>
          <w:tab w:val="left" w:pos="840"/>
        </w:tabs>
        <w:spacing w:before="0" w:beforeAutospacing="0" w:after="0" w:afterAutospacing="0"/>
        <w:rPr>
          <w:sz w:val="21"/>
          <w:szCs w:val="21"/>
        </w:rPr>
      </w:pPr>
      <w:r>
        <w:rPr>
          <w:rFonts w:hint="eastAsia"/>
          <w:sz w:val="21"/>
          <w:szCs w:val="21"/>
        </w:rPr>
        <w:t>3、净现值：指在项目计算期内，未来现金流入量的现值与现金流出量现值的差额。</w:t>
      </w:r>
      <w:r>
        <w:rPr>
          <w:sz w:val="21"/>
          <w:szCs w:val="21"/>
        </w:rPr>
        <w:t>4</w:t>
      </w:r>
      <w:r>
        <w:rPr>
          <w:rFonts w:hint="eastAsia"/>
          <w:sz w:val="21"/>
          <w:szCs w:val="21"/>
        </w:rPr>
        <w:t>、责任中心：指具有一定的管理权限，并承担相应的经济责任的企业内部责任单位。</w:t>
      </w:r>
    </w:p>
    <w:p>
      <w:pPr>
        <w:pStyle w:val="3"/>
        <w:tabs>
          <w:tab w:val="left" w:pos="840"/>
        </w:tabs>
        <w:spacing w:before="0" w:beforeAutospacing="0" w:after="0" w:afterAutospacing="0"/>
        <w:rPr>
          <w:b/>
          <w:sz w:val="21"/>
          <w:szCs w:val="21"/>
        </w:rPr>
      </w:pPr>
      <w:r>
        <w:rPr>
          <w:rFonts w:hint="eastAsia"/>
          <w:b/>
          <w:sz w:val="21"/>
          <w:szCs w:val="21"/>
        </w:rPr>
        <w:t>四、问答题</w:t>
      </w:r>
    </w:p>
    <w:p>
      <w:pPr>
        <w:ind w:firstLine="420" w:firstLineChars="200"/>
        <w:rPr>
          <w:spacing w:val="-6"/>
        </w:rPr>
      </w:pPr>
      <w:r>
        <w:rPr>
          <w:rFonts w:hint="eastAsia" w:ascii="宋体" w:hAnsi="宋体"/>
          <w:szCs w:val="21"/>
        </w:rPr>
        <w:t>1、</w:t>
      </w:r>
      <w:r>
        <w:rPr>
          <w:rFonts w:hint="eastAsia"/>
          <w:spacing w:val="-6"/>
        </w:rPr>
        <w:t>投资决策中的现金流量是指对投资项目引起的现金流入量和现金流出量的总称。包括三个部分，即（1）初始现金流量，包括固定资产上投资、流动资金的垫支额、无形资产上的投资和其他投资费用（包括筹集费用、试车费用、职工培训费等）。（2）营业现金流量，包括营业收入、付现的营运成本、销售税金及附加、所得税，其中的营业现金净流量=年税后利润+年折旧+年摊销额。（3）终结现金流量，包括固定资产残值的变价净收入、收回垫支的流动资金。</w:t>
      </w:r>
    </w:p>
    <w:p>
      <w:pPr>
        <w:ind w:left="105" w:leftChars="50" w:firstLine="210" w:firstLineChars="100"/>
      </w:pPr>
      <w:r>
        <w:rPr>
          <w:rFonts w:hint="eastAsia"/>
          <w:szCs w:val="21"/>
        </w:rPr>
        <w:t>2、</w:t>
      </w:r>
      <w:r>
        <w:rPr>
          <w:rFonts w:hint="eastAsia"/>
        </w:rPr>
        <w:t>成本性态也称成本习性，是指成本与业务量（指产销量或作业量，下同）之间的相互依存关系。成本按性态分类，最终可把全部成本分为固定成本与变动成本两大类。</w:t>
      </w:r>
    </w:p>
    <w:p>
      <w:pPr>
        <w:spacing w:line="320" w:lineRule="exact"/>
        <w:ind w:firstLine="210" w:firstLineChars="100"/>
      </w:pPr>
      <w:r>
        <w:rPr>
          <w:rFonts w:hint="eastAsia"/>
        </w:rPr>
        <w:t>（1）成本按性态分类是实行变动成本法的前提。</w:t>
      </w:r>
    </w:p>
    <w:p>
      <w:pPr>
        <w:spacing w:line="320" w:lineRule="exact"/>
        <w:ind w:firstLine="210" w:firstLineChars="100"/>
      </w:pPr>
      <w:r>
        <w:rPr>
          <w:rFonts w:hint="eastAsia"/>
        </w:rPr>
        <w:t>（2）成本按性态分类是开展本量利分析的基础。</w:t>
      </w:r>
    </w:p>
    <w:p>
      <w:pPr>
        <w:spacing w:line="320" w:lineRule="exact"/>
        <w:ind w:firstLine="210" w:firstLineChars="100"/>
      </w:pPr>
      <w:r>
        <w:rPr>
          <w:rFonts w:hint="eastAsia"/>
        </w:rPr>
        <w:t>（3）成本按性态分类可为决策分析提供有用信息。</w:t>
      </w:r>
    </w:p>
    <w:p>
      <w:pPr>
        <w:ind w:firstLine="210" w:firstLineChars="100"/>
      </w:pPr>
      <w:r>
        <w:rPr>
          <w:rFonts w:hint="eastAsia"/>
        </w:rPr>
        <w:t>（4）成本按性态分类有利于实行弹性预算和进行成本控制。</w:t>
      </w:r>
    </w:p>
    <w:p>
      <w:pPr>
        <w:spacing w:line="400" w:lineRule="exact"/>
        <w:rPr>
          <w:rFonts w:ascii="宋体" w:hAnsi="宋体"/>
          <w:b/>
          <w:szCs w:val="21"/>
        </w:rPr>
      </w:pPr>
      <w:r>
        <w:rPr>
          <w:rFonts w:hint="eastAsia"/>
          <w:b/>
          <w:szCs w:val="21"/>
        </w:rPr>
        <w:t>五、</w:t>
      </w:r>
      <w:r>
        <w:rPr>
          <w:rFonts w:hint="eastAsia" w:ascii="宋体" w:hAnsi="宋体"/>
          <w:b/>
          <w:szCs w:val="21"/>
        </w:rPr>
        <w:t>计算分析题</w:t>
      </w:r>
    </w:p>
    <w:p>
      <w:pPr>
        <w:ind w:firstLine="840" w:firstLineChars="400"/>
      </w:pPr>
      <w:r>
        <w:rPr>
          <w:rFonts w:hint="eastAsia" w:ascii="宋体" w:hAnsi="宋体"/>
          <w:szCs w:val="21"/>
        </w:rPr>
        <w:t>1、</w:t>
      </w:r>
      <w:r>
        <w:rPr>
          <w:rFonts w:hint="eastAsia"/>
        </w:rPr>
        <w:t>（1）2003年的销售收入=84000</w:t>
      </w:r>
      <w:r>
        <w:rPr>
          <w:rFonts w:hint="eastAsia" w:ascii="宋体" w:hAnsi="宋体"/>
        </w:rPr>
        <w:t>÷</w:t>
      </w:r>
      <w:r>
        <w:rPr>
          <w:rFonts w:hint="eastAsia"/>
        </w:rPr>
        <w:t xml:space="preserve"> 60%=140000元    </w:t>
      </w:r>
    </w:p>
    <w:p>
      <w:pPr>
        <w:ind w:firstLine="840" w:firstLineChars="400"/>
      </w:pPr>
      <w:r>
        <w:rPr>
          <w:rFonts w:hint="eastAsia"/>
        </w:rPr>
        <w:t>2003年的固定成本=140000</w:t>
      </w:r>
      <w:r>
        <w:rPr>
          <w:rFonts w:hint="eastAsia" w:ascii="宋体" w:hAnsi="宋体"/>
        </w:rPr>
        <w:t>﹣84000﹣11000=45000</w:t>
      </w:r>
    </w:p>
    <w:p>
      <w:pPr>
        <w:ind w:firstLine="840" w:firstLineChars="400"/>
      </w:pPr>
      <w:r>
        <w:rPr>
          <w:rFonts w:hint="eastAsia"/>
        </w:rPr>
        <w:t>2004年保本额=（45000+2000）</w:t>
      </w:r>
      <w:r>
        <w:rPr>
          <w:rFonts w:hint="eastAsia" w:ascii="宋体" w:hAnsi="宋体"/>
        </w:rPr>
        <w:t>÷（1-60%）=117500</w:t>
      </w:r>
      <w:r>
        <w:rPr>
          <w:rFonts w:hint="eastAsia"/>
        </w:rPr>
        <w:t xml:space="preserve">元 </w:t>
      </w:r>
    </w:p>
    <w:p>
      <w:pPr>
        <w:ind w:left="420" w:firstLine="375"/>
      </w:pPr>
      <w:r>
        <w:rPr>
          <w:rFonts w:hint="eastAsia"/>
        </w:rPr>
        <w:t>（2）当目标利润为20000元时</w:t>
      </w:r>
    </w:p>
    <w:p>
      <w:pPr>
        <w:ind w:left="420" w:leftChars="200" w:firstLine="688" w:firstLineChars="328"/>
      </w:pPr>
      <w:r>
        <w:rPr>
          <w:rFonts w:hint="eastAsia"/>
        </w:rPr>
        <w:t>保利额=（45000+2000+20000）</w:t>
      </w:r>
      <w:r>
        <w:rPr>
          <w:rFonts w:hint="eastAsia" w:ascii="宋体" w:hAnsi="宋体"/>
        </w:rPr>
        <w:t>÷（1-60%）=167500</w:t>
      </w:r>
      <w:r>
        <w:rPr>
          <w:rFonts w:hint="eastAsia"/>
        </w:rPr>
        <w:t xml:space="preserve">元  </w:t>
      </w:r>
    </w:p>
    <w:p>
      <w:pPr>
        <w:autoSpaceDE w:val="0"/>
        <w:autoSpaceDN w:val="0"/>
        <w:adjustRightInd w:val="0"/>
        <w:ind w:firstLine="840" w:firstLineChars="400"/>
        <w:rPr>
          <w:color w:val="000000"/>
          <w:szCs w:val="21"/>
        </w:rPr>
      </w:pPr>
      <w:r>
        <w:rPr>
          <w:rFonts w:hint="eastAsia"/>
        </w:rPr>
        <w:t>（3）14000</w:t>
      </w:r>
      <w:r>
        <w:rPr>
          <w:rFonts w:hint="eastAsia" w:ascii="宋体" w:hAnsi="宋体"/>
        </w:rPr>
        <w:t>0×（1+20%）×（1-60%）-45000-2000=20200</w:t>
      </w:r>
    </w:p>
    <w:p>
      <w:pPr>
        <w:ind w:firstLine="210" w:firstLineChars="100"/>
      </w:pPr>
      <w:r>
        <w:rPr>
          <w:rFonts w:hint="eastAsia"/>
          <w:color w:val="000000"/>
          <w:szCs w:val="21"/>
        </w:rPr>
        <w:t>2、</w:t>
      </w:r>
      <w:r>
        <w:rPr>
          <w:rFonts w:hint="eastAsia"/>
        </w:rPr>
        <w:t xml:space="preserve">（1）由于A营业部的投资利润率高于B营业部，故A营业部更成功   </w:t>
      </w:r>
    </w:p>
    <w:p>
      <w:pPr>
        <w:ind w:firstLine="210" w:firstLineChars="100"/>
      </w:pPr>
      <w:r>
        <w:rPr>
          <w:rFonts w:hint="eastAsia"/>
        </w:rPr>
        <w:t xml:space="preserve">  （2）营业部A剩余利润=2000-10000×15%=500        </w:t>
      </w:r>
    </w:p>
    <w:p>
      <w:pPr>
        <w:ind w:left="420"/>
      </w:pPr>
      <w:r>
        <w:rPr>
          <w:rFonts w:hint="eastAsia"/>
        </w:rPr>
        <w:t xml:space="preserve">       营业部B剩余利润=4500-25000×15%=750        </w:t>
      </w:r>
    </w:p>
    <w:p>
      <w:pPr>
        <w:ind w:firstLine="210" w:firstLineChars="100"/>
      </w:pPr>
      <w:r>
        <w:rPr>
          <w:rFonts w:hint="eastAsia"/>
        </w:rPr>
        <w:t xml:space="preserve">3、年折旧=90000/5=18000                                         </w:t>
      </w:r>
    </w:p>
    <w:p>
      <w:pPr>
        <w:ind w:left="420"/>
      </w:pPr>
      <w:r>
        <w:rPr>
          <w:rFonts w:hint="eastAsia"/>
        </w:rPr>
        <w:t xml:space="preserve">       年营业现金净流量=12000+ 18000 =30000                          </w:t>
      </w:r>
    </w:p>
    <w:p>
      <w:pPr>
        <w:ind w:left="420"/>
      </w:pPr>
      <w:r>
        <w:rPr>
          <w:rFonts w:hint="eastAsia"/>
        </w:rPr>
        <w:t xml:space="preserve">      投资回收期=90000/30000=3年                                    </w:t>
      </w:r>
    </w:p>
    <w:p>
      <w:pPr>
        <w:ind w:left="420"/>
      </w:pPr>
      <w:r>
        <w:rPr>
          <w:rFonts w:hint="eastAsia"/>
        </w:rPr>
        <w:t xml:space="preserve">         NPV =30000×3.791－90000=23730                             </w:t>
      </w:r>
    </w:p>
    <w:p>
      <w:pPr>
        <w:ind w:left="445" w:leftChars="212" w:firstLine="1470" w:firstLineChars="700"/>
      </w:pPr>
      <w:r>
        <w:rPr>
          <w:rFonts w:hint="eastAsia"/>
        </w:rPr>
        <w:t>当i=19%时   NPV1= 30000×3.058</w:t>
      </w:r>
      <w:r>
        <w:rPr>
          <w:rFonts w:hint="eastAsia" w:ascii="宋体" w:hAnsi="宋体"/>
        </w:rPr>
        <w:t>-</w:t>
      </w:r>
      <w:r>
        <w:rPr>
          <w:rFonts w:hint="eastAsia"/>
        </w:rPr>
        <w:t xml:space="preserve">90000=1740    </w:t>
      </w:r>
    </w:p>
    <w:p>
      <w:pPr>
        <w:ind w:left="445" w:leftChars="212" w:firstLine="1470" w:firstLineChars="700"/>
        <w:rPr>
          <w:rFonts w:ascii="宋体" w:hAnsi="宋体"/>
        </w:rPr>
      </w:pPr>
      <w:r>
        <w:rPr>
          <w:rFonts w:hint="eastAsia"/>
        </w:rPr>
        <w:t>当i=20%时   NPV2=30000×2.991</w:t>
      </w:r>
      <w:r>
        <w:rPr>
          <w:rFonts w:hint="eastAsia" w:ascii="宋体" w:hAnsi="宋体"/>
        </w:rPr>
        <w:t>-</w:t>
      </w:r>
      <w:r>
        <w:rPr>
          <w:rFonts w:hint="eastAsia"/>
        </w:rPr>
        <w:t>90000=</w:t>
      </w:r>
      <w:r>
        <w:rPr>
          <w:rFonts w:hint="eastAsia" w:ascii="宋体" w:hAnsi="宋体"/>
        </w:rPr>
        <w:t>-270</w:t>
      </w:r>
    </w:p>
    <w:p>
      <w:pPr>
        <w:ind w:left="445" w:leftChars="212" w:firstLine="1470" w:firstLineChars="700"/>
      </w:pPr>
      <w:r>
        <w:rPr>
          <w:rFonts w:hint="eastAsia" w:ascii="宋体" w:hAnsi="宋体"/>
        </w:rPr>
        <w:t>内含报酬率=19%+（20%-19%）</w:t>
      </w:r>
      <w:r>
        <w:rPr>
          <w:rFonts w:hint="eastAsia"/>
        </w:rPr>
        <w:t xml:space="preserve">×1740/（1740+270）=19.87%    </w:t>
      </w:r>
      <w:bookmarkStart w:id="0" w:name="_GoBack"/>
      <w:bookmarkEnd w:id="0"/>
    </w:p>
    <w:p>
      <w:pPr>
        <w:spacing w:line="400" w:lineRule="exact"/>
        <w:rPr>
          <w:szCs w:val="21"/>
        </w:rPr>
      </w:pPr>
    </w:p>
    <w:sectPr>
      <w:footerReference r:id="rId3" w:type="default"/>
      <w:pgSz w:w="10433" w:h="14742"/>
      <w:pgMar w:top="1400" w:right="771" w:bottom="1134"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幼圆">
    <w:panose1 w:val="02010509060101010101"/>
    <w:charset w:val="86"/>
    <w:family w:val="modern"/>
    <w:pitch w:val="default"/>
    <w:sig w:usb0="00000001" w:usb1="080E0000" w:usb2="00000000" w:usb3="00000000" w:csb0="0004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幼圆" w:eastAsia="幼圆"/>
      </w:rPr>
    </w:pPr>
    <w:r>
      <w:rPr>
        <w:rFonts w:hint="eastAsia" w:ascii="幼圆" w:eastAsia="幼圆"/>
        <w:kern w:val="0"/>
      </w:rPr>
      <w:t xml:space="preserve">第 </w:t>
    </w:r>
    <w:r>
      <w:rPr>
        <w:rFonts w:hint="eastAsia" w:ascii="幼圆" w:eastAsia="幼圆"/>
        <w:kern w:val="0"/>
      </w:rPr>
      <w:fldChar w:fldCharType="begin"/>
    </w:r>
    <w:r>
      <w:rPr>
        <w:rFonts w:hint="eastAsia" w:ascii="幼圆" w:eastAsia="幼圆"/>
        <w:kern w:val="0"/>
      </w:rPr>
      <w:instrText xml:space="preserve"> PAGE </w:instrText>
    </w:r>
    <w:r>
      <w:rPr>
        <w:rFonts w:hint="eastAsia" w:ascii="幼圆" w:eastAsia="幼圆"/>
        <w:kern w:val="0"/>
      </w:rPr>
      <w:fldChar w:fldCharType="separate"/>
    </w:r>
    <w:r>
      <w:rPr>
        <w:rFonts w:ascii="幼圆" w:eastAsia="幼圆"/>
        <w:kern w:val="0"/>
      </w:rPr>
      <w:t>1</w:t>
    </w:r>
    <w:r>
      <w:rPr>
        <w:rFonts w:hint="eastAsia" w:ascii="幼圆" w:eastAsia="幼圆"/>
        <w:kern w:val="0"/>
      </w:rPr>
      <w:fldChar w:fldCharType="end"/>
    </w:r>
    <w:r>
      <w:rPr>
        <w:rFonts w:hint="eastAsia" w:ascii="幼圆" w:eastAsia="幼圆"/>
        <w:kern w:val="0"/>
      </w:rPr>
      <w:t xml:space="preserve"> 页 共 </w:t>
    </w:r>
    <w:r>
      <w:rPr>
        <w:rFonts w:hint="eastAsia" w:ascii="幼圆" w:eastAsia="幼圆"/>
        <w:kern w:val="0"/>
      </w:rPr>
      <w:fldChar w:fldCharType="begin"/>
    </w:r>
    <w:r>
      <w:rPr>
        <w:rFonts w:hint="eastAsia" w:ascii="幼圆" w:eastAsia="幼圆"/>
        <w:kern w:val="0"/>
      </w:rPr>
      <w:instrText xml:space="preserve"> NUMPAGES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248AC"/>
    <w:rsid w:val="00012277"/>
    <w:rsid w:val="000169C2"/>
    <w:rsid w:val="00033AFB"/>
    <w:rsid w:val="00035AB7"/>
    <w:rsid w:val="00041748"/>
    <w:rsid w:val="0004288E"/>
    <w:rsid w:val="0004304B"/>
    <w:rsid w:val="000556EE"/>
    <w:rsid w:val="000561CA"/>
    <w:rsid w:val="0006200C"/>
    <w:rsid w:val="00063BA7"/>
    <w:rsid w:val="00070F60"/>
    <w:rsid w:val="000A69E0"/>
    <w:rsid w:val="000C230D"/>
    <w:rsid w:val="000C4D52"/>
    <w:rsid w:val="000C7196"/>
    <w:rsid w:val="000D1161"/>
    <w:rsid w:val="000D425D"/>
    <w:rsid w:val="000F4ABB"/>
    <w:rsid w:val="00102117"/>
    <w:rsid w:val="00104EA7"/>
    <w:rsid w:val="0010743D"/>
    <w:rsid w:val="001219BF"/>
    <w:rsid w:val="00124297"/>
    <w:rsid w:val="001342A1"/>
    <w:rsid w:val="00145ABB"/>
    <w:rsid w:val="0015043E"/>
    <w:rsid w:val="00152360"/>
    <w:rsid w:val="00165089"/>
    <w:rsid w:val="00171961"/>
    <w:rsid w:val="0019142D"/>
    <w:rsid w:val="001971F5"/>
    <w:rsid w:val="001A4A38"/>
    <w:rsid w:val="001B671F"/>
    <w:rsid w:val="001B7A9C"/>
    <w:rsid w:val="001C1062"/>
    <w:rsid w:val="001E228E"/>
    <w:rsid w:val="001E564B"/>
    <w:rsid w:val="001F40BE"/>
    <w:rsid w:val="00241EF1"/>
    <w:rsid w:val="00262866"/>
    <w:rsid w:val="0026534F"/>
    <w:rsid w:val="00274641"/>
    <w:rsid w:val="0027698E"/>
    <w:rsid w:val="00290B98"/>
    <w:rsid w:val="00292483"/>
    <w:rsid w:val="0029398D"/>
    <w:rsid w:val="0029466C"/>
    <w:rsid w:val="00294BE2"/>
    <w:rsid w:val="0029552C"/>
    <w:rsid w:val="002A265D"/>
    <w:rsid w:val="002A3FEF"/>
    <w:rsid w:val="002A5691"/>
    <w:rsid w:val="002C3C05"/>
    <w:rsid w:val="002F10A6"/>
    <w:rsid w:val="002F6338"/>
    <w:rsid w:val="003132EC"/>
    <w:rsid w:val="003200E9"/>
    <w:rsid w:val="003207BE"/>
    <w:rsid w:val="00322A91"/>
    <w:rsid w:val="0033165F"/>
    <w:rsid w:val="00334C6A"/>
    <w:rsid w:val="00342C8E"/>
    <w:rsid w:val="003441B7"/>
    <w:rsid w:val="00347137"/>
    <w:rsid w:val="00362AC6"/>
    <w:rsid w:val="00365994"/>
    <w:rsid w:val="00366EB9"/>
    <w:rsid w:val="00370E18"/>
    <w:rsid w:val="0039162A"/>
    <w:rsid w:val="00393FC8"/>
    <w:rsid w:val="00395B44"/>
    <w:rsid w:val="003B050C"/>
    <w:rsid w:val="003B7828"/>
    <w:rsid w:val="003C5344"/>
    <w:rsid w:val="003D1818"/>
    <w:rsid w:val="003F11C4"/>
    <w:rsid w:val="003F4DA0"/>
    <w:rsid w:val="00422FBC"/>
    <w:rsid w:val="00424338"/>
    <w:rsid w:val="00432ECC"/>
    <w:rsid w:val="0043367E"/>
    <w:rsid w:val="004339E8"/>
    <w:rsid w:val="00433AA9"/>
    <w:rsid w:val="00441891"/>
    <w:rsid w:val="004433F8"/>
    <w:rsid w:val="004450F3"/>
    <w:rsid w:val="0045229C"/>
    <w:rsid w:val="00455CB4"/>
    <w:rsid w:val="00457128"/>
    <w:rsid w:val="00465C0D"/>
    <w:rsid w:val="00467964"/>
    <w:rsid w:val="0047127D"/>
    <w:rsid w:val="004724BA"/>
    <w:rsid w:val="00475F86"/>
    <w:rsid w:val="00477C1B"/>
    <w:rsid w:val="00482215"/>
    <w:rsid w:val="0048235A"/>
    <w:rsid w:val="00483EA1"/>
    <w:rsid w:val="00491961"/>
    <w:rsid w:val="004975EA"/>
    <w:rsid w:val="004A1C6A"/>
    <w:rsid w:val="004A313B"/>
    <w:rsid w:val="004A43DC"/>
    <w:rsid w:val="004B1AC5"/>
    <w:rsid w:val="004C2D7B"/>
    <w:rsid w:val="004D44C4"/>
    <w:rsid w:val="004D5C97"/>
    <w:rsid w:val="004E0BD9"/>
    <w:rsid w:val="004E1519"/>
    <w:rsid w:val="004F7F47"/>
    <w:rsid w:val="005051DB"/>
    <w:rsid w:val="00506D1E"/>
    <w:rsid w:val="005248AC"/>
    <w:rsid w:val="00535783"/>
    <w:rsid w:val="00546804"/>
    <w:rsid w:val="00551229"/>
    <w:rsid w:val="0056431B"/>
    <w:rsid w:val="00567F5B"/>
    <w:rsid w:val="00570FCD"/>
    <w:rsid w:val="005835A1"/>
    <w:rsid w:val="00590E63"/>
    <w:rsid w:val="0059220C"/>
    <w:rsid w:val="00592A7B"/>
    <w:rsid w:val="00593B70"/>
    <w:rsid w:val="005A3230"/>
    <w:rsid w:val="005A3326"/>
    <w:rsid w:val="005A7CC2"/>
    <w:rsid w:val="005B0D06"/>
    <w:rsid w:val="005B5439"/>
    <w:rsid w:val="005D0F04"/>
    <w:rsid w:val="005D3502"/>
    <w:rsid w:val="005D47B0"/>
    <w:rsid w:val="005D5978"/>
    <w:rsid w:val="005D7569"/>
    <w:rsid w:val="005E5228"/>
    <w:rsid w:val="005E5557"/>
    <w:rsid w:val="00605790"/>
    <w:rsid w:val="00614E59"/>
    <w:rsid w:val="006224E0"/>
    <w:rsid w:val="006225D1"/>
    <w:rsid w:val="00632F53"/>
    <w:rsid w:val="00634E04"/>
    <w:rsid w:val="006365F1"/>
    <w:rsid w:val="00644D19"/>
    <w:rsid w:val="00646DA0"/>
    <w:rsid w:val="00653C24"/>
    <w:rsid w:val="00687DBF"/>
    <w:rsid w:val="006B43BA"/>
    <w:rsid w:val="006D1E88"/>
    <w:rsid w:val="006E1BDD"/>
    <w:rsid w:val="00702A4B"/>
    <w:rsid w:val="00702DB3"/>
    <w:rsid w:val="007135EB"/>
    <w:rsid w:val="0072756C"/>
    <w:rsid w:val="0074138C"/>
    <w:rsid w:val="00742086"/>
    <w:rsid w:val="007456B5"/>
    <w:rsid w:val="00747064"/>
    <w:rsid w:val="0074789B"/>
    <w:rsid w:val="00755D08"/>
    <w:rsid w:val="00761AC2"/>
    <w:rsid w:val="00776C7A"/>
    <w:rsid w:val="00781228"/>
    <w:rsid w:val="0078294B"/>
    <w:rsid w:val="007A27BD"/>
    <w:rsid w:val="007B371D"/>
    <w:rsid w:val="007C54BC"/>
    <w:rsid w:val="007D7CBC"/>
    <w:rsid w:val="007E0F8A"/>
    <w:rsid w:val="007F082D"/>
    <w:rsid w:val="007F2D1B"/>
    <w:rsid w:val="007F3EA3"/>
    <w:rsid w:val="007F73C1"/>
    <w:rsid w:val="007F78D7"/>
    <w:rsid w:val="008109D8"/>
    <w:rsid w:val="00820CFD"/>
    <w:rsid w:val="00823613"/>
    <w:rsid w:val="00831915"/>
    <w:rsid w:val="0084515F"/>
    <w:rsid w:val="00854451"/>
    <w:rsid w:val="00860480"/>
    <w:rsid w:val="00871DA3"/>
    <w:rsid w:val="008A2498"/>
    <w:rsid w:val="008B0AD8"/>
    <w:rsid w:val="008D11A0"/>
    <w:rsid w:val="008D1B50"/>
    <w:rsid w:val="008E38F8"/>
    <w:rsid w:val="008F0193"/>
    <w:rsid w:val="00920098"/>
    <w:rsid w:val="00933561"/>
    <w:rsid w:val="00951071"/>
    <w:rsid w:val="00955DDB"/>
    <w:rsid w:val="0097530B"/>
    <w:rsid w:val="00977BE7"/>
    <w:rsid w:val="00991A74"/>
    <w:rsid w:val="009B08F3"/>
    <w:rsid w:val="009B4575"/>
    <w:rsid w:val="009C1239"/>
    <w:rsid w:val="009D08BE"/>
    <w:rsid w:val="009D5CA8"/>
    <w:rsid w:val="00A028AA"/>
    <w:rsid w:val="00A14079"/>
    <w:rsid w:val="00A30736"/>
    <w:rsid w:val="00A3146B"/>
    <w:rsid w:val="00A37FE8"/>
    <w:rsid w:val="00A42093"/>
    <w:rsid w:val="00A636CB"/>
    <w:rsid w:val="00A73185"/>
    <w:rsid w:val="00A766CD"/>
    <w:rsid w:val="00AA50D1"/>
    <w:rsid w:val="00AB5DD7"/>
    <w:rsid w:val="00AC7AC7"/>
    <w:rsid w:val="00AD675D"/>
    <w:rsid w:val="00AF1AD9"/>
    <w:rsid w:val="00AF3C02"/>
    <w:rsid w:val="00B03B3B"/>
    <w:rsid w:val="00B2359C"/>
    <w:rsid w:val="00B34446"/>
    <w:rsid w:val="00B4355A"/>
    <w:rsid w:val="00B56DA0"/>
    <w:rsid w:val="00B62373"/>
    <w:rsid w:val="00B633EA"/>
    <w:rsid w:val="00B701B5"/>
    <w:rsid w:val="00B738AE"/>
    <w:rsid w:val="00B74AA1"/>
    <w:rsid w:val="00B82750"/>
    <w:rsid w:val="00B87662"/>
    <w:rsid w:val="00B92589"/>
    <w:rsid w:val="00BB6CC2"/>
    <w:rsid w:val="00BD67E3"/>
    <w:rsid w:val="00BE3EF5"/>
    <w:rsid w:val="00C04CD1"/>
    <w:rsid w:val="00C07BC6"/>
    <w:rsid w:val="00C10E45"/>
    <w:rsid w:val="00C111EF"/>
    <w:rsid w:val="00C1584B"/>
    <w:rsid w:val="00C535DB"/>
    <w:rsid w:val="00C720F4"/>
    <w:rsid w:val="00C90FDC"/>
    <w:rsid w:val="00C910A7"/>
    <w:rsid w:val="00C91859"/>
    <w:rsid w:val="00CB0458"/>
    <w:rsid w:val="00CB44E6"/>
    <w:rsid w:val="00CC1726"/>
    <w:rsid w:val="00CC322A"/>
    <w:rsid w:val="00CE4D0D"/>
    <w:rsid w:val="00CE4E61"/>
    <w:rsid w:val="00CF37CE"/>
    <w:rsid w:val="00D1013F"/>
    <w:rsid w:val="00D16F30"/>
    <w:rsid w:val="00D238D9"/>
    <w:rsid w:val="00D23AB4"/>
    <w:rsid w:val="00D346A7"/>
    <w:rsid w:val="00D36304"/>
    <w:rsid w:val="00D43136"/>
    <w:rsid w:val="00D469AC"/>
    <w:rsid w:val="00D54D7E"/>
    <w:rsid w:val="00D5626F"/>
    <w:rsid w:val="00D60966"/>
    <w:rsid w:val="00D82165"/>
    <w:rsid w:val="00D87EF7"/>
    <w:rsid w:val="00D93225"/>
    <w:rsid w:val="00DB5245"/>
    <w:rsid w:val="00DC068D"/>
    <w:rsid w:val="00DC1EF1"/>
    <w:rsid w:val="00DC61F1"/>
    <w:rsid w:val="00DE58BB"/>
    <w:rsid w:val="00DF4D37"/>
    <w:rsid w:val="00E02BF7"/>
    <w:rsid w:val="00E03C1C"/>
    <w:rsid w:val="00E05817"/>
    <w:rsid w:val="00E13C1D"/>
    <w:rsid w:val="00E173BA"/>
    <w:rsid w:val="00E20C2D"/>
    <w:rsid w:val="00E217F9"/>
    <w:rsid w:val="00E21C83"/>
    <w:rsid w:val="00E402DA"/>
    <w:rsid w:val="00E447B2"/>
    <w:rsid w:val="00E822F7"/>
    <w:rsid w:val="00E843F3"/>
    <w:rsid w:val="00E864B4"/>
    <w:rsid w:val="00E942D3"/>
    <w:rsid w:val="00EA0851"/>
    <w:rsid w:val="00EA17B1"/>
    <w:rsid w:val="00EB35E7"/>
    <w:rsid w:val="00EB45A3"/>
    <w:rsid w:val="00EB4D42"/>
    <w:rsid w:val="00EB77AE"/>
    <w:rsid w:val="00EC0FF4"/>
    <w:rsid w:val="00ED1F46"/>
    <w:rsid w:val="00ED47FF"/>
    <w:rsid w:val="00EE7E6F"/>
    <w:rsid w:val="00EF5FC9"/>
    <w:rsid w:val="00F01984"/>
    <w:rsid w:val="00F0422C"/>
    <w:rsid w:val="00F05F74"/>
    <w:rsid w:val="00F06ACE"/>
    <w:rsid w:val="00F07F79"/>
    <w:rsid w:val="00F1343E"/>
    <w:rsid w:val="00F20243"/>
    <w:rsid w:val="00F23248"/>
    <w:rsid w:val="00F246C0"/>
    <w:rsid w:val="00F24A53"/>
    <w:rsid w:val="00F3360A"/>
    <w:rsid w:val="00F51A91"/>
    <w:rsid w:val="00F81D71"/>
    <w:rsid w:val="00F847DA"/>
    <w:rsid w:val="00F91935"/>
    <w:rsid w:val="00FA2683"/>
    <w:rsid w:val="00FA4A8F"/>
    <w:rsid w:val="00FA6CF0"/>
    <w:rsid w:val="00FC4A18"/>
    <w:rsid w:val="00FD0ACE"/>
    <w:rsid w:val="00FD2126"/>
    <w:rsid w:val="04AD3917"/>
    <w:rsid w:val="19DB32C6"/>
    <w:rsid w:val="1B496366"/>
    <w:rsid w:val="29682DB1"/>
    <w:rsid w:val="30AA7F16"/>
    <w:rsid w:val="3FBF2405"/>
    <w:rsid w:val="43DC2FA0"/>
    <w:rsid w:val="44747CC9"/>
    <w:rsid w:val="47F06A46"/>
    <w:rsid w:val="49D075AA"/>
    <w:rsid w:val="4B06409F"/>
    <w:rsid w:val="57EF65BA"/>
    <w:rsid w:val="766C1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nhideWhenUsed="0"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w:basedOn w:val="1"/>
    <w:qFormat/>
    <w:uiPriority w:val="0"/>
    <w:pPr>
      <w:widowControl/>
      <w:spacing w:before="100" w:beforeAutospacing="1" w:after="100" w:afterAutospacing="1"/>
      <w:jc w:val="left"/>
    </w:pPr>
    <w:rPr>
      <w:rFonts w:ascii="宋体" w:hAnsi="宋体"/>
      <w:kern w:val="0"/>
      <w:sz w:val="24"/>
    </w:r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20"/>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1"/>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har"/>
    <w:basedOn w:val="1"/>
    <w:uiPriority w:val="0"/>
    <w:rPr>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249</Words>
  <Characters>1421</Characters>
  <Lines>11</Lines>
  <Paragraphs>3</Paragraphs>
  <TotalTime>1</TotalTime>
  <ScaleCrop>false</ScaleCrop>
  <LinksUpToDate>false</LinksUpToDate>
  <CharactersWithSpaces>1667</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2021-04-26T13:32:00Z</dcterms:created>
  <dc:creator>beyond</dc:creator>
  <cp:lastModifiedBy>user</cp:lastModifiedBy>
  <cp:lastPrinted>2014-06-12T12:22:00Z</cp:lastPrinted>
  <dcterms:modified xsi:type="dcterms:W3CDTF">2021-06-18T11:37:09Z</dcterms:modified>
  <dc:title>杭州商学院2011/2012学年第二学期毕业班重修试卷（B）</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