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b/>
          <w:bCs/>
          <w:sz w:val="36"/>
          <w:szCs w:val="44"/>
          <w:lang w:val="en-US" w:eastAsia="zh-CN"/>
        </w:rPr>
      </w:pPr>
      <w:r>
        <w:rPr>
          <w:rFonts w:hint="eastAsia"/>
          <w:b/>
          <w:bCs/>
          <w:sz w:val="36"/>
          <w:szCs w:val="44"/>
          <w:lang w:val="en-US" w:eastAsia="zh-CN"/>
        </w:rPr>
        <w:t>管理会计复习资料</w:t>
      </w:r>
    </w:p>
    <w:p>
      <w:pPr>
        <w:spacing w:line="360" w:lineRule="auto"/>
        <w:rPr>
          <w:rFonts w:hint="eastAsia" w:ascii="宋体" w:hAnsi="宋体"/>
          <w:b/>
          <w:szCs w:val="21"/>
        </w:rPr>
      </w:pPr>
      <w:r>
        <w:rPr>
          <w:rFonts w:hint="eastAsia" w:ascii="宋体" w:hAnsi="宋体"/>
          <w:b/>
          <w:szCs w:val="21"/>
        </w:rPr>
        <w:t>一、单项选择题</w:t>
      </w:r>
    </w:p>
    <w:p>
      <w:pPr>
        <w:spacing w:line="360" w:lineRule="auto"/>
        <w:rPr>
          <w:rFonts w:hint="eastAsia" w:ascii="Calibri" w:hAnsi="Calibri"/>
          <w:szCs w:val="22"/>
        </w:rPr>
      </w:pPr>
      <w:r>
        <w:rPr>
          <w:rFonts w:hint="eastAsia" w:ascii="Calibri" w:hAnsi="Calibri"/>
          <w:szCs w:val="22"/>
        </w:rPr>
        <w:t>1．管理会计的服务对象侧重于（    ）</w:t>
      </w:r>
    </w:p>
    <w:p>
      <w:pPr>
        <w:spacing w:line="360" w:lineRule="auto"/>
        <w:rPr>
          <w:rFonts w:hint="eastAsia" w:ascii="Calibri" w:hAnsi="Calibri"/>
          <w:szCs w:val="22"/>
        </w:rPr>
      </w:pPr>
      <w:r>
        <w:rPr>
          <w:rFonts w:hint="eastAsia" w:ascii="Calibri" w:hAnsi="Calibri"/>
          <w:szCs w:val="22"/>
        </w:rPr>
        <w:t>A．投资人               B．债权人</w:t>
      </w:r>
    </w:p>
    <w:p>
      <w:pPr>
        <w:spacing w:line="360" w:lineRule="auto"/>
        <w:rPr>
          <w:rFonts w:hint="eastAsia" w:ascii="Calibri" w:hAnsi="Calibri"/>
          <w:szCs w:val="22"/>
        </w:rPr>
      </w:pPr>
      <w:r>
        <w:rPr>
          <w:rFonts w:hint="eastAsia" w:ascii="Calibri" w:hAnsi="Calibri"/>
          <w:szCs w:val="22"/>
        </w:rPr>
        <w:t>C．内部管理人员         D．政府机关</w:t>
      </w:r>
    </w:p>
    <w:p>
      <w:pPr>
        <w:spacing w:line="360" w:lineRule="auto"/>
        <w:rPr>
          <w:rFonts w:hint="eastAsia" w:ascii="Calibri" w:hAnsi="Calibri"/>
          <w:szCs w:val="22"/>
        </w:rPr>
      </w:pPr>
      <w:r>
        <w:rPr>
          <w:rFonts w:hint="eastAsia" w:ascii="Calibri" w:hAnsi="Calibri"/>
          <w:szCs w:val="22"/>
        </w:rPr>
        <w:t>2．确定盈亏临界点是（    ）的核心。</w:t>
      </w:r>
    </w:p>
    <w:p>
      <w:pPr>
        <w:spacing w:line="360" w:lineRule="auto"/>
        <w:rPr>
          <w:rFonts w:hint="eastAsia" w:ascii="Calibri" w:hAnsi="Calibri"/>
          <w:szCs w:val="22"/>
        </w:rPr>
      </w:pPr>
      <w:r>
        <w:rPr>
          <w:rFonts w:hint="eastAsia" w:ascii="Calibri" w:hAnsi="Calibri"/>
          <w:szCs w:val="22"/>
        </w:rPr>
        <w:t>A．成本性态分析法       B．本-量-利分析法</w:t>
      </w:r>
    </w:p>
    <w:p>
      <w:pPr>
        <w:spacing w:line="360" w:lineRule="auto"/>
        <w:rPr>
          <w:rFonts w:hint="eastAsia" w:ascii="Calibri" w:hAnsi="Calibri"/>
          <w:szCs w:val="22"/>
        </w:rPr>
      </w:pPr>
      <w:r>
        <w:rPr>
          <w:rFonts w:hint="eastAsia" w:ascii="Calibri" w:hAnsi="Calibri"/>
          <w:szCs w:val="22"/>
        </w:rPr>
        <w:t>C．边际分析法           D．折现的现金流量法</w:t>
      </w:r>
    </w:p>
    <w:p>
      <w:pPr>
        <w:spacing w:line="360" w:lineRule="auto"/>
        <w:rPr>
          <w:rFonts w:hint="eastAsia" w:ascii="Calibri" w:hAnsi="Calibri"/>
          <w:szCs w:val="22"/>
        </w:rPr>
      </w:pPr>
      <w:r>
        <w:rPr>
          <w:rFonts w:hint="eastAsia" w:ascii="Calibri" w:hAnsi="Calibri"/>
          <w:szCs w:val="22"/>
        </w:rPr>
        <w:t>3．下列费用中，属于酌量性固定成本的是（      ）</w:t>
      </w:r>
    </w:p>
    <w:p>
      <w:pPr>
        <w:spacing w:line="360" w:lineRule="auto"/>
        <w:rPr>
          <w:rFonts w:hint="eastAsia" w:ascii="Calibri" w:hAnsi="Calibri"/>
          <w:szCs w:val="22"/>
        </w:rPr>
      </w:pPr>
      <w:r>
        <w:rPr>
          <w:rFonts w:hint="eastAsia" w:ascii="Calibri" w:hAnsi="Calibri"/>
          <w:szCs w:val="22"/>
        </w:rPr>
        <w:t xml:space="preserve">A．房屋及设备的租金      B.广告费    </w:t>
      </w:r>
    </w:p>
    <w:p>
      <w:pPr>
        <w:spacing w:line="360" w:lineRule="auto"/>
        <w:rPr>
          <w:rFonts w:hint="eastAsia" w:ascii="Calibri" w:hAnsi="Calibri"/>
          <w:szCs w:val="22"/>
        </w:rPr>
      </w:pPr>
      <w:r>
        <w:rPr>
          <w:rFonts w:hint="eastAsia" w:ascii="Calibri" w:hAnsi="Calibri"/>
          <w:szCs w:val="22"/>
        </w:rPr>
        <w:t>C.行政管理人员的薪酬      D.不动产税</w:t>
      </w:r>
    </w:p>
    <w:p>
      <w:pPr>
        <w:spacing w:line="360" w:lineRule="auto"/>
        <w:rPr>
          <w:rFonts w:hint="eastAsia" w:ascii="Calibri" w:hAnsi="Calibri"/>
          <w:szCs w:val="22"/>
        </w:rPr>
      </w:pPr>
      <w:r>
        <w:rPr>
          <w:rFonts w:hint="eastAsia" w:ascii="Calibri" w:hAnsi="Calibri"/>
          <w:szCs w:val="22"/>
        </w:rPr>
        <w:t>4．将企业的全部成本分为“变动成本” 与“固定成本”是依据（    ）</w:t>
      </w:r>
    </w:p>
    <w:p>
      <w:pPr>
        <w:spacing w:line="360" w:lineRule="auto"/>
        <w:rPr>
          <w:rFonts w:hint="eastAsia" w:ascii="Calibri" w:hAnsi="Calibri"/>
          <w:szCs w:val="22"/>
        </w:rPr>
      </w:pPr>
      <w:r>
        <w:rPr>
          <w:rFonts w:hint="eastAsia" w:ascii="Calibri" w:hAnsi="Calibri"/>
          <w:szCs w:val="22"/>
        </w:rPr>
        <w:t>A．成本项目                     B．成本对象</w:t>
      </w:r>
    </w:p>
    <w:p>
      <w:pPr>
        <w:spacing w:line="360" w:lineRule="auto"/>
        <w:rPr>
          <w:rFonts w:hint="eastAsia" w:ascii="Calibri" w:hAnsi="Calibri"/>
          <w:szCs w:val="22"/>
        </w:rPr>
      </w:pPr>
      <w:r>
        <w:rPr>
          <w:rFonts w:hint="eastAsia" w:ascii="Calibri" w:hAnsi="Calibri"/>
          <w:szCs w:val="22"/>
        </w:rPr>
        <w:t>C．成本习性                     D．经济职能</w:t>
      </w:r>
    </w:p>
    <w:p>
      <w:pPr>
        <w:spacing w:line="360" w:lineRule="auto"/>
        <w:rPr>
          <w:rFonts w:hint="eastAsia" w:ascii="Calibri" w:hAnsi="Calibri"/>
          <w:szCs w:val="22"/>
        </w:rPr>
      </w:pPr>
      <w:r>
        <w:rPr>
          <w:rFonts w:hint="eastAsia" w:ascii="Calibri" w:hAnsi="Calibri"/>
          <w:szCs w:val="22"/>
        </w:rPr>
        <w:t>5在一定时期内每期期初等额收付的系列款项称为（    ）</w:t>
      </w:r>
    </w:p>
    <w:p>
      <w:pPr>
        <w:spacing w:line="360" w:lineRule="auto"/>
        <w:rPr>
          <w:rFonts w:hint="eastAsia" w:ascii="Calibri" w:hAnsi="Calibri"/>
          <w:szCs w:val="22"/>
        </w:rPr>
      </w:pPr>
      <w:r>
        <w:rPr>
          <w:rFonts w:hint="eastAsia" w:ascii="Calibri" w:hAnsi="Calibri"/>
          <w:szCs w:val="22"/>
        </w:rPr>
        <w:t>A.永续年金  B.递延年金  C.先付年金  D.后付年金</w:t>
      </w:r>
    </w:p>
    <w:p>
      <w:pPr>
        <w:spacing w:line="360" w:lineRule="auto"/>
        <w:rPr>
          <w:rFonts w:hint="eastAsia"/>
          <w:szCs w:val="21"/>
        </w:rPr>
      </w:pPr>
      <w:bookmarkStart w:id="0" w:name="_GoBack"/>
      <w:bookmarkEnd w:id="0"/>
    </w:p>
    <w:p>
      <w:pPr>
        <w:spacing w:line="360" w:lineRule="auto"/>
        <w:rPr>
          <w:rFonts w:hint="eastAsia" w:ascii="宋体" w:hAnsi="宋体"/>
          <w:b/>
          <w:bCs/>
          <w:szCs w:val="21"/>
        </w:rPr>
      </w:pPr>
      <w:r>
        <w:rPr>
          <w:rFonts w:hint="eastAsia" w:ascii="宋体" w:hAnsi="宋体"/>
          <w:b/>
          <w:bCs/>
          <w:szCs w:val="21"/>
        </w:rPr>
        <w:t>二、多选题</w:t>
      </w:r>
    </w:p>
    <w:p>
      <w:pPr>
        <w:spacing w:line="360" w:lineRule="auto"/>
        <w:rPr>
          <w:rFonts w:hint="eastAsia" w:ascii="Calibri" w:hAnsi="Calibri"/>
          <w:szCs w:val="22"/>
        </w:rPr>
      </w:pPr>
      <w:r>
        <w:rPr>
          <w:rFonts w:hint="eastAsia" w:ascii="Calibri" w:hAnsi="Calibri"/>
          <w:szCs w:val="22"/>
        </w:rPr>
        <w:t>1.本-量-利分析的基本假设有（       ）</w:t>
      </w:r>
    </w:p>
    <w:p>
      <w:pPr>
        <w:spacing w:line="360" w:lineRule="auto"/>
        <w:rPr>
          <w:rFonts w:ascii="Calibri" w:hAnsi="Calibri"/>
          <w:szCs w:val="22"/>
        </w:rPr>
      </w:pPr>
      <w:r>
        <w:rPr>
          <w:rFonts w:hint="eastAsia" w:ascii="Calibri" w:hAnsi="Calibri"/>
          <w:szCs w:val="22"/>
        </w:rPr>
        <w:t>A.相关范围假设                  B.模型线性假设</w:t>
      </w:r>
    </w:p>
    <w:p>
      <w:pPr>
        <w:spacing w:line="360" w:lineRule="auto"/>
        <w:rPr>
          <w:rFonts w:ascii="Calibri" w:hAnsi="Calibri"/>
          <w:szCs w:val="22"/>
        </w:rPr>
      </w:pPr>
      <w:r>
        <w:rPr>
          <w:rFonts w:hint="eastAsia" w:ascii="Calibri" w:hAnsi="Calibri"/>
          <w:szCs w:val="22"/>
        </w:rPr>
        <w:t>C.产销平衡假设                  D.品种结构不变假设</w:t>
      </w:r>
    </w:p>
    <w:p>
      <w:pPr>
        <w:spacing w:line="360" w:lineRule="auto"/>
        <w:rPr>
          <w:rFonts w:hint="eastAsia" w:ascii="Calibri" w:hAnsi="Calibri"/>
          <w:szCs w:val="22"/>
        </w:rPr>
      </w:pPr>
      <w:r>
        <w:rPr>
          <w:rFonts w:hint="eastAsia" w:ascii="Calibri" w:hAnsi="Calibri"/>
          <w:szCs w:val="22"/>
        </w:rPr>
        <w:t>2.下列项目中，属于管理会计定量分析方法的是(      )</w:t>
      </w:r>
    </w:p>
    <w:p>
      <w:pPr>
        <w:spacing w:line="360" w:lineRule="auto"/>
        <w:rPr>
          <w:rFonts w:hint="eastAsia" w:ascii="Calibri" w:hAnsi="Calibri"/>
          <w:szCs w:val="22"/>
        </w:rPr>
      </w:pPr>
      <w:r>
        <w:rPr>
          <w:rFonts w:hint="eastAsia" w:ascii="Calibri" w:hAnsi="Calibri"/>
          <w:szCs w:val="22"/>
        </w:rPr>
        <w:t>A.算术平均法                    B.平滑指数法  </w:t>
      </w:r>
    </w:p>
    <w:p>
      <w:pPr>
        <w:spacing w:line="360" w:lineRule="auto"/>
        <w:rPr>
          <w:rFonts w:hint="eastAsia" w:ascii="Calibri" w:hAnsi="Calibri"/>
          <w:szCs w:val="22"/>
        </w:rPr>
      </w:pPr>
      <w:r>
        <w:rPr>
          <w:rFonts w:hint="eastAsia" w:ascii="Calibri" w:hAnsi="Calibri"/>
          <w:szCs w:val="22"/>
        </w:rPr>
        <w:t xml:space="preserve">C.回归分析法                    D.判断分析法 </w:t>
      </w:r>
    </w:p>
    <w:p>
      <w:pPr>
        <w:widowControl/>
        <w:spacing w:before="100" w:line="280" w:lineRule="atLeast"/>
        <w:rPr>
          <w:rFonts w:hint="eastAsia"/>
        </w:rPr>
      </w:pPr>
      <w:r>
        <w:rPr>
          <w:rFonts w:hint="eastAsia"/>
        </w:rPr>
        <w:t>3.下列各项中，属于生产经营决策相关成本的有（      ）</w:t>
      </w:r>
    </w:p>
    <w:p>
      <w:pPr>
        <w:widowControl/>
        <w:spacing w:before="100" w:line="280" w:lineRule="atLeast"/>
        <w:rPr>
          <w:rFonts w:hint="eastAsia"/>
        </w:rPr>
      </w:pPr>
      <w:r>
        <w:rPr>
          <w:rFonts w:hint="eastAsia"/>
        </w:rPr>
        <w:t xml:space="preserve">A.增量成本                      B. 机会成本      </w:t>
      </w:r>
    </w:p>
    <w:p>
      <w:pPr>
        <w:widowControl/>
        <w:spacing w:before="100" w:line="280" w:lineRule="atLeast"/>
        <w:rPr>
          <w:rFonts w:hint="eastAsia"/>
        </w:rPr>
      </w:pPr>
      <w:r>
        <w:rPr>
          <w:rFonts w:hint="eastAsia"/>
        </w:rPr>
        <w:t xml:space="preserve">C.专属成本                      D. 沉没成本      </w:t>
      </w:r>
    </w:p>
    <w:p>
      <w:pPr>
        <w:spacing w:line="360" w:lineRule="auto"/>
        <w:rPr>
          <w:rFonts w:hint="eastAsia" w:ascii="Calibri" w:hAnsi="Calibri"/>
          <w:szCs w:val="22"/>
        </w:rPr>
      </w:pPr>
    </w:p>
    <w:p>
      <w:pPr>
        <w:spacing w:line="360" w:lineRule="auto"/>
        <w:rPr>
          <w:rFonts w:hint="eastAsia" w:ascii="宋体" w:hAnsi="宋体"/>
          <w:b/>
          <w:bCs/>
          <w:szCs w:val="21"/>
        </w:rPr>
      </w:pPr>
      <w:r>
        <w:rPr>
          <w:rFonts w:hint="eastAsia" w:ascii="宋体" w:hAnsi="宋体"/>
          <w:b/>
          <w:bCs/>
          <w:szCs w:val="21"/>
        </w:rPr>
        <w:t>三、判断题</w:t>
      </w:r>
    </w:p>
    <w:p>
      <w:pPr>
        <w:spacing w:line="360" w:lineRule="auto"/>
        <w:jc w:val="left"/>
        <w:rPr>
          <w:rFonts w:hint="eastAsia" w:ascii="Calibri" w:hAnsi="Calibri"/>
          <w:szCs w:val="22"/>
        </w:rPr>
      </w:pPr>
      <w:r>
        <w:rPr>
          <w:rFonts w:hint="eastAsia" w:ascii="Calibri" w:hAnsi="Calibri"/>
          <w:szCs w:val="22"/>
        </w:rPr>
        <w:t xml:space="preserve">1.管理会计为企业管理当局的管理目标服务，同时也为股东、债权人、规章制度指定机构及国家行政机构等非管理机构服务。                                       （       ）                                                               </w:t>
      </w:r>
    </w:p>
    <w:p>
      <w:pPr>
        <w:spacing w:line="360" w:lineRule="auto"/>
        <w:jc w:val="left"/>
        <w:rPr>
          <w:rFonts w:hint="eastAsia" w:ascii="Calibri" w:hAnsi="Calibri"/>
          <w:szCs w:val="22"/>
        </w:rPr>
      </w:pPr>
      <w:r>
        <w:rPr>
          <w:rFonts w:hint="eastAsia" w:ascii="Calibri" w:hAnsi="Calibri"/>
          <w:szCs w:val="22"/>
        </w:rPr>
        <w:t xml:space="preserve">2.从实质上讲，管理会计的最终对象是企业的生产经营活动。             （       ）          </w:t>
      </w:r>
    </w:p>
    <w:p>
      <w:pPr>
        <w:spacing w:line="360" w:lineRule="auto"/>
        <w:jc w:val="left"/>
        <w:rPr>
          <w:rFonts w:ascii="Calibri" w:hAnsi="Calibri"/>
          <w:szCs w:val="22"/>
        </w:rPr>
      </w:pPr>
      <w:r>
        <w:rPr>
          <w:rFonts w:hint="eastAsia" w:ascii="Calibri" w:hAnsi="Calibri"/>
          <w:szCs w:val="22"/>
        </w:rPr>
        <w:t>3.管理会计是对外报告会计。                                         （       ）</w:t>
      </w:r>
    </w:p>
    <w:p>
      <w:pPr>
        <w:spacing w:line="360" w:lineRule="auto"/>
        <w:jc w:val="left"/>
        <w:rPr>
          <w:rFonts w:ascii="Calibri" w:hAnsi="Calibri"/>
          <w:szCs w:val="22"/>
        </w:rPr>
      </w:pPr>
      <w:r>
        <w:rPr>
          <w:rFonts w:hint="eastAsia" w:ascii="Calibri" w:hAnsi="Calibri"/>
          <w:szCs w:val="22"/>
        </w:rPr>
        <w:t xml:space="preserve">4.本-量-利分析中最基本的假设是产销平衡假设。                        （       ）                          </w:t>
      </w:r>
    </w:p>
    <w:p>
      <w:pPr>
        <w:spacing w:line="360" w:lineRule="auto"/>
        <w:jc w:val="left"/>
        <w:rPr>
          <w:rFonts w:hint="eastAsia" w:ascii="Calibri" w:hAnsi="Calibri"/>
          <w:szCs w:val="22"/>
        </w:rPr>
      </w:pPr>
      <w:r>
        <w:rPr>
          <w:rFonts w:hint="eastAsia" w:ascii="Calibri" w:hAnsi="Calibri"/>
          <w:szCs w:val="22"/>
        </w:rPr>
        <w:t xml:space="preserve">5.亏损产品一定不能继续生产。                                       （       ）                        </w:t>
      </w:r>
    </w:p>
    <w:p>
      <w:pPr>
        <w:spacing w:line="360" w:lineRule="auto"/>
        <w:jc w:val="left"/>
      </w:pPr>
      <w:r>
        <w:rPr>
          <w:rFonts w:hint="eastAsia"/>
        </w:rPr>
        <w:t xml:space="preserve">6.净现值大于零，表示方案可取。                                     （       ）             </w:t>
      </w:r>
    </w:p>
    <w:p>
      <w:pPr>
        <w:spacing w:line="360" w:lineRule="auto"/>
        <w:jc w:val="left"/>
      </w:pPr>
      <w:r>
        <w:rPr>
          <w:rFonts w:hint="eastAsia"/>
        </w:rPr>
        <w:t xml:space="preserve">7.当产量小于销量时，按变动成本法计算的损益大于按完全成本法计算的损益。  （       ）        </w:t>
      </w:r>
    </w:p>
    <w:p>
      <w:pPr>
        <w:spacing w:line="360" w:lineRule="auto"/>
        <w:jc w:val="left"/>
        <w:rPr>
          <w:rFonts w:hint="eastAsia"/>
        </w:rPr>
      </w:pPr>
      <w:r>
        <w:rPr>
          <w:rFonts w:hint="eastAsia"/>
        </w:rPr>
        <w:t xml:space="preserve">8.机会成本是在经济决策中应由中选的最优方案负担的、按所放弃的次优方案潜在受益计算的那部分资源损失。                                                       （       ）                                                              </w:t>
      </w:r>
    </w:p>
    <w:p>
      <w:pPr>
        <w:spacing w:line="360" w:lineRule="auto"/>
        <w:rPr>
          <w:rFonts w:hint="eastAsia" w:ascii="宋体" w:hAnsi="宋体"/>
          <w:b/>
          <w:bCs/>
          <w:szCs w:val="21"/>
        </w:rPr>
      </w:pPr>
      <w:r>
        <w:rPr>
          <w:rFonts w:hint="eastAsia" w:ascii="宋体" w:hAnsi="宋体"/>
          <w:b/>
          <w:bCs/>
          <w:szCs w:val="21"/>
        </w:rPr>
        <w:t>四、名词解释</w:t>
      </w:r>
    </w:p>
    <w:p>
      <w:pPr>
        <w:widowControl/>
        <w:spacing w:before="100" w:line="280" w:lineRule="atLeast"/>
        <w:rPr>
          <w:rFonts w:hint="eastAsia"/>
        </w:rPr>
      </w:pPr>
      <w:r>
        <w:rPr>
          <w:rFonts w:hint="eastAsia"/>
        </w:rPr>
        <w:t>1、净现值</w:t>
      </w:r>
    </w:p>
    <w:p>
      <w:pPr>
        <w:widowControl/>
        <w:spacing w:before="100" w:line="280" w:lineRule="atLeast"/>
      </w:pPr>
      <w:r>
        <w:rPr>
          <w:rFonts w:hint="eastAsia"/>
        </w:rPr>
        <w:t>2、盈亏临界点</w:t>
      </w:r>
    </w:p>
    <w:p>
      <w:pPr>
        <w:rPr>
          <w:rFonts w:hint="eastAsia"/>
        </w:rPr>
      </w:pPr>
    </w:p>
    <w:p>
      <w:r>
        <w:rPr>
          <w:rFonts w:hint="eastAsia"/>
        </w:rPr>
        <w:t>3、本-量-利分析</w:t>
      </w:r>
    </w:p>
    <w:p>
      <w:pPr>
        <w:rPr>
          <w:rFonts w:hint="eastAsia" w:ascii="宋体" w:hAnsi="宋体"/>
          <w:b/>
          <w:bCs/>
          <w:szCs w:val="21"/>
        </w:rPr>
      </w:pPr>
      <w:r>
        <w:rPr>
          <w:rFonts w:hint="eastAsia"/>
        </w:rPr>
        <w:t xml:space="preserve">                                                           </w:t>
      </w:r>
    </w:p>
    <w:p>
      <w:pPr>
        <w:spacing w:line="360" w:lineRule="auto"/>
        <w:rPr>
          <w:rFonts w:hint="eastAsia" w:ascii="宋体" w:hAnsi="宋体"/>
          <w:b/>
          <w:bCs/>
          <w:szCs w:val="21"/>
        </w:rPr>
      </w:pPr>
      <w:r>
        <w:rPr>
          <w:rFonts w:hint="eastAsia" w:ascii="宋体" w:hAnsi="宋体"/>
          <w:b/>
          <w:bCs/>
          <w:szCs w:val="21"/>
        </w:rPr>
        <w:t>五、计算题</w:t>
      </w:r>
    </w:p>
    <w:p>
      <w:pPr>
        <w:widowControl/>
        <w:spacing w:before="100" w:line="280" w:lineRule="atLeast"/>
        <w:ind w:left="-360" w:firstLine="420" w:firstLineChars="200"/>
        <w:rPr>
          <w:rFonts w:hint="eastAsia"/>
        </w:rPr>
      </w:pPr>
      <w:r>
        <w:rPr>
          <w:rFonts w:hint="eastAsia"/>
        </w:rPr>
        <w:t>1、设某厂某年1-6月份机器维修在相关范围内的情况如下：</w:t>
      </w:r>
    </w:p>
    <w:tbl>
      <w:tblPr>
        <w:tblStyle w:val="4"/>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52"/>
        <w:gridCol w:w="3885"/>
        <w:gridCol w:w="3885"/>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2" w:type="dxa"/>
            <w:tcBorders>
              <w:top w:val="single" w:color="auto" w:sz="12" w:space="0"/>
              <w:left w:val="nil"/>
              <w:bottom w:val="single" w:color="auto" w:sz="4" w:space="0"/>
              <w:right w:val="single" w:color="auto" w:sz="4" w:space="0"/>
            </w:tcBorders>
            <w:noWrap w:val="0"/>
            <w:vAlign w:val="center"/>
          </w:tcPr>
          <w:p>
            <w:pPr>
              <w:widowControl/>
              <w:spacing w:before="100" w:line="280" w:lineRule="atLeast"/>
              <w:ind w:left="-360" w:firstLine="420" w:firstLineChars="200"/>
              <w:rPr>
                <w:rFonts w:hint="eastAsia"/>
              </w:rPr>
            </w:pPr>
            <w:r>
              <w:rPr>
                <w:rFonts w:hint="eastAsia"/>
              </w:rPr>
              <w:t>月份</w:t>
            </w:r>
          </w:p>
        </w:tc>
        <w:tc>
          <w:tcPr>
            <w:tcW w:w="3885" w:type="dxa"/>
            <w:tcBorders>
              <w:top w:val="single" w:color="auto" w:sz="12" w:space="0"/>
              <w:left w:val="single" w:color="auto" w:sz="4" w:space="0"/>
              <w:bottom w:val="single" w:color="auto" w:sz="4" w:space="0"/>
              <w:right w:val="single" w:color="auto" w:sz="4" w:space="0"/>
            </w:tcBorders>
            <w:noWrap w:val="0"/>
            <w:vAlign w:val="center"/>
          </w:tcPr>
          <w:p>
            <w:pPr>
              <w:widowControl/>
              <w:spacing w:before="100" w:line="280" w:lineRule="atLeast"/>
              <w:ind w:left="-360" w:firstLine="420" w:firstLineChars="200"/>
              <w:rPr>
                <w:rFonts w:hint="eastAsia"/>
              </w:rPr>
            </w:pPr>
            <w:r>
              <w:rPr>
                <w:rFonts w:hint="eastAsia"/>
              </w:rPr>
              <w:t>机器工作小时</w:t>
            </w:r>
          </w:p>
        </w:tc>
        <w:tc>
          <w:tcPr>
            <w:tcW w:w="3885" w:type="dxa"/>
            <w:tcBorders>
              <w:top w:val="single" w:color="auto" w:sz="12" w:space="0"/>
              <w:left w:val="single" w:color="auto" w:sz="4" w:space="0"/>
              <w:bottom w:val="single" w:color="auto" w:sz="4" w:space="0"/>
              <w:right w:val="nil"/>
            </w:tcBorders>
            <w:noWrap w:val="0"/>
            <w:vAlign w:val="center"/>
          </w:tcPr>
          <w:p>
            <w:pPr>
              <w:widowControl/>
              <w:spacing w:before="100" w:line="280" w:lineRule="atLeast"/>
              <w:ind w:left="-360" w:firstLine="420" w:firstLineChars="200"/>
              <w:rPr>
                <w:rFonts w:hint="eastAsia"/>
              </w:rPr>
            </w:pPr>
            <w:r>
              <w:rPr>
                <w:rFonts w:hint="eastAsia"/>
              </w:rPr>
              <w:t>维修成本（元）</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2" w:type="dxa"/>
            <w:tcBorders>
              <w:top w:val="single" w:color="auto" w:sz="4" w:space="0"/>
              <w:left w:val="nil"/>
              <w:bottom w:val="single" w:color="auto" w:sz="4" w:space="0"/>
              <w:right w:val="single" w:color="auto" w:sz="4" w:space="0"/>
            </w:tcBorders>
            <w:noWrap w:val="0"/>
            <w:vAlign w:val="center"/>
          </w:tcPr>
          <w:p>
            <w:pPr>
              <w:widowControl/>
              <w:spacing w:before="100" w:line="280" w:lineRule="atLeast"/>
              <w:ind w:left="-360" w:firstLine="420" w:firstLineChars="200"/>
              <w:rPr>
                <w:rFonts w:hint="eastAsia"/>
              </w:rPr>
            </w:pPr>
            <w:r>
              <w:rPr>
                <w:rFonts w:hint="eastAsia"/>
              </w:rPr>
              <w:t>1</w:t>
            </w:r>
          </w:p>
        </w:tc>
        <w:tc>
          <w:tcPr>
            <w:tcW w:w="3885" w:type="dxa"/>
            <w:tcBorders>
              <w:top w:val="single" w:color="auto" w:sz="4" w:space="0"/>
              <w:left w:val="single" w:color="auto" w:sz="4" w:space="0"/>
              <w:bottom w:val="single" w:color="auto" w:sz="4" w:space="0"/>
              <w:right w:val="single" w:color="auto" w:sz="4" w:space="0"/>
            </w:tcBorders>
            <w:noWrap w:val="0"/>
            <w:vAlign w:val="center"/>
          </w:tcPr>
          <w:p>
            <w:pPr>
              <w:widowControl/>
              <w:spacing w:before="100" w:line="280" w:lineRule="atLeast"/>
              <w:ind w:left="-360" w:firstLine="420" w:firstLineChars="200"/>
              <w:rPr>
                <w:rFonts w:hint="eastAsia"/>
              </w:rPr>
            </w:pPr>
            <w:r>
              <w:rPr>
                <w:rFonts w:hint="eastAsia"/>
              </w:rPr>
              <w:t>100</w:t>
            </w:r>
          </w:p>
        </w:tc>
        <w:tc>
          <w:tcPr>
            <w:tcW w:w="3885" w:type="dxa"/>
            <w:tcBorders>
              <w:top w:val="single" w:color="auto" w:sz="4" w:space="0"/>
              <w:left w:val="single" w:color="auto" w:sz="4" w:space="0"/>
              <w:bottom w:val="single" w:color="auto" w:sz="4" w:space="0"/>
              <w:right w:val="nil"/>
            </w:tcBorders>
            <w:noWrap w:val="0"/>
            <w:vAlign w:val="center"/>
          </w:tcPr>
          <w:p>
            <w:pPr>
              <w:widowControl/>
              <w:spacing w:before="100" w:line="280" w:lineRule="atLeast"/>
              <w:ind w:left="-360" w:firstLine="420" w:firstLineChars="200"/>
              <w:rPr>
                <w:rFonts w:hint="eastAsia"/>
              </w:rPr>
            </w:pPr>
            <w:r>
              <w:rPr>
                <w:rFonts w:hint="eastAsia"/>
              </w:rPr>
              <w:t>140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2" w:type="dxa"/>
            <w:tcBorders>
              <w:top w:val="single" w:color="auto" w:sz="4" w:space="0"/>
              <w:left w:val="nil"/>
              <w:bottom w:val="single" w:color="auto" w:sz="4" w:space="0"/>
              <w:right w:val="single" w:color="auto" w:sz="4" w:space="0"/>
            </w:tcBorders>
            <w:noWrap w:val="0"/>
            <w:vAlign w:val="center"/>
          </w:tcPr>
          <w:p>
            <w:pPr>
              <w:widowControl/>
              <w:spacing w:before="100" w:line="280" w:lineRule="atLeast"/>
              <w:ind w:left="-360" w:firstLine="420" w:firstLineChars="200"/>
              <w:rPr>
                <w:rFonts w:hint="eastAsia"/>
              </w:rPr>
            </w:pPr>
            <w:r>
              <w:rPr>
                <w:rFonts w:hint="eastAsia"/>
              </w:rPr>
              <w:t>2</w:t>
            </w:r>
          </w:p>
        </w:tc>
        <w:tc>
          <w:tcPr>
            <w:tcW w:w="3885" w:type="dxa"/>
            <w:tcBorders>
              <w:top w:val="single" w:color="auto" w:sz="4" w:space="0"/>
              <w:left w:val="single" w:color="auto" w:sz="4" w:space="0"/>
              <w:bottom w:val="single" w:color="auto" w:sz="4" w:space="0"/>
              <w:right w:val="single" w:color="auto" w:sz="4" w:space="0"/>
            </w:tcBorders>
            <w:noWrap w:val="0"/>
            <w:vAlign w:val="center"/>
          </w:tcPr>
          <w:p>
            <w:pPr>
              <w:widowControl/>
              <w:spacing w:before="100" w:line="280" w:lineRule="atLeast"/>
              <w:ind w:left="-360" w:firstLine="420" w:firstLineChars="200"/>
              <w:rPr>
                <w:rFonts w:hint="eastAsia"/>
              </w:rPr>
            </w:pPr>
            <w:r>
              <w:rPr>
                <w:rFonts w:hint="eastAsia"/>
              </w:rPr>
              <w:t>110</w:t>
            </w:r>
          </w:p>
        </w:tc>
        <w:tc>
          <w:tcPr>
            <w:tcW w:w="3885" w:type="dxa"/>
            <w:tcBorders>
              <w:top w:val="single" w:color="auto" w:sz="4" w:space="0"/>
              <w:left w:val="single" w:color="auto" w:sz="4" w:space="0"/>
              <w:bottom w:val="single" w:color="auto" w:sz="4" w:space="0"/>
              <w:right w:val="nil"/>
            </w:tcBorders>
            <w:noWrap w:val="0"/>
            <w:vAlign w:val="center"/>
          </w:tcPr>
          <w:p>
            <w:pPr>
              <w:widowControl/>
              <w:spacing w:before="100" w:line="280" w:lineRule="atLeast"/>
              <w:ind w:left="-360" w:firstLine="420" w:firstLineChars="200"/>
              <w:rPr>
                <w:rFonts w:hint="eastAsia"/>
              </w:rPr>
            </w:pPr>
            <w:r>
              <w:rPr>
                <w:rFonts w:hint="eastAsia"/>
              </w:rPr>
              <w:t>170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2" w:type="dxa"/>
            <w:tcBorders>
              <w:top w:val="single" w:color="auto" w:sz="4" w:space="0"/>
              <w:left w:val="nil"/>
              <w:bottom w:val="single" w:color="auto" w:sz="4" w:space="0"/>
              <w:right w:val="single" w:color="auto" w:sz="4" w:space="0"/>
            </w:tcBorders>
            <w:noWrap w:val="0"/>
            <w:vAlign w:val="center"/>
          </w:tcPr>
          <w:p>
            <w:pPr>
              <w:widowControl/>
              <w:spacing w:before="100" w:line="280" w:lineRule="atLeast"/>
              <w:ind w:left="-360" w:firstLine="420" w:firstLineChars="200"/>
              <w:rPr>
                <w:rFonts w:hint="eastAsia"/>
              </w:rPr>
            </w:pPr>
            <w:r>
              <w:rPr>
                <w:rFonts w:hint="eastAsia"/>
              </w:rPr>
              <w:t>3</w:t>
            </w:r>
          </w:p>
        </w:tc>
        <w:tc>
          <w:tcPr>
            <w:tcW w:w="3885" w:type="dxa"/>
            <w:tcBorders>
              <w:top w:val="single" w:color="auto" w:sz="4" w:space="0"/>
              <w:left w:val="single" w:color="auto" w:sz="4" w:space="0"/>
              <w:bottom w:val="single" w:color="auto" w:sz="4" w:space="0"/>
              <w:right w:val="single" w:color="auto" w:sz="4" w:space="0"/>
            </w:tcBorders>
            <w:noWrap w:val="0"/>
            <w:vAlign w:val="center"/>
          </w:tcPr>
          <w:p>
            <w:pPr>
              <w:widowControl/>
              <w:spacing w:before="100" w:line="280" w:lineRule="atLeast"/>
              <w:ind w:left="-360" w:firstLine="420" w:firstLineChars="200"/>
              <w:rPr>
                <w:rFonts w:hint="eastAsia"/>
              </w:rPr>
            </w:pPr>
            <w:r>
              <w:rPr>
                <w:rFonts w:hint="eastAsia"/>
              </w:rPr>
              <w:t>90</w:t>
            </w:r>
          </w:p>
        </w:tc>
        <w:tc>
          <w:tcPr>
            <w:tcW w:w="3885" w:type="dxa"/>
            <w:tcBorders>
              <w:top w:val="single" w:color="auto" w:sz="4" w:space="0"/>
              <w:left w:val="single" w:color="auto" w:sz="4" w:space="0"/>
              <w:bottom w:val="single" w:color="auto" w:sz="4" w:space="0"/>
              <w:right w:val="nil"/>
            </w:tcBorders>
            <w:noWrap w:val="0"/>
            <w:vAlign w:val="center"/>
          </w:tcPr>
          <w:p>
            <w:pPr>
              <w:widowControl/>
              <w:spacing w:before="100" w:line="280" w:lineRule="atLeast"/>
              <w:ind w:left="-360" w:firstLine="420" w:firstLineChars="200"/>
              <w:rPr>
                <w:rFonts w:hint="eastAsia"/>
              </w:rPr>
            </w:pPr>
            <w:r>
              <w:rPr>
                <w:rFonts w:hint="eastAsia"/>
              </w:rPr>
              <w:t>150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2" w:type="dxa"/>
            <w:tcBorders>
              <w:top w:val="single" w:color="auto" w:sz="4" w:space="0"/>
              <w:left w:val="nil"/>
              <w:bottom w:val="single" w:color="auto" w:sz="4" w:space="0"/>
              <w:right w:val="single" w:color="auto" w:sz="4" w:space="0"/>
            </w:tcBorders>
            <w:noWrap w:val="0"/>
            <w:vAlign w:val="center"/>
          </w:tcPr>
          <w:p>
            <w:pPr>
              <w:widowControl/>
              <w:spacing w:before="100" w:line="280" w:lineRule="atLeast"/>
              <w:ind w:left="-360" w:firstLine="420" w:firstLineChars="200"/>
              <w:rPr>
                <w:rFonts w:hint="eastAsia"/>
              </w:rPr>
            </w:pPr>
            <w:r>
              <w:rPr>
                <w:rFonts w:hint="eastAsia"/>
              </w:rPr>
              <w:t>4</w:t>
            </w:r>
          </w:p>
        </w:tc>
        <w:tc>
          <w:tcPr>
            <w:tcW w:w="3885" w:type="dxa"/>
            <w:tcBorders>
              <w:top w:val="single" w:color="auto" w:sz="4" w:space="0"/>
              <w:left w:val="single" w:color="auto" w:sz="4" w:space="0"/>
              <w:bottom w:val="single" w:color="auto" w:sz="4" w:space="0"/>
              <w:right w:val="single" w:color="auto" w:sz="4" w:space="0"/>
            </w:tcBorders>
            <w:noWrap w:val="0"/>
            <w:vAlign w:val="center"/>
          </w:tcPr>
          <w:p>
            <w:pPr>
              <w:widowControl/>
              <w:spacing w:before="100" w:line="280" w:lineRule="atLeast"/>
              <w:ind w:left="-360" w:firstLine="420" w:firstLineChars="200"/>
              <w:rPr>
                <w:rFonts w:hint="eastAsia"/>
              </w:rPr>
            </w:pPr>
            <w:r>
              <w:rPr>
                <w:rFonts w:hint="eastAsia"/>
              </w:rPr>
              <w:t>80</w:t>
            </w:r>
          </w:p>
        </w:tc>
        <w:tc>
          <w:tcPr>
            <w:tcW w:w="3885" w:type="dxa"/>
            <w:tcBorders>
              <w:top w:val="single" w:color="auto" w:sz="4" w:space="0"/>
              <w:left w:val="single" w:color="auto" w:sz="4" w:space="0"/>
              <w:bottom w:val="single" w:color="auto" w:sz="4" w:space="0"/>
              <w:right w:val="nil"/>
            </w:tcBorders>
            <w:noWrap w:val="0"/>
            <w:vAlign w:val="center"/>
          </w:tcPr>
          <w:p>
            <w:pPr>
              <w:widowControl/>
              <w:spacing w:before="100" w:line="280" w:lineRule="atLeast"/>
              <w:ind w:left="-360" w:firstLine="420" w:firstLineChars="200"/>
              <w:rPr>
                <w:rFonts w:hint="eastAsia"/>
              </w:rPr>
            </w:pPr>
            <w:r>
              <w:rPr>
                <w:rFonts w:hint="eastAsia"/>
              </w:rPr>
              <w:t>130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2" w:type="dxa"/>
            <w:tcBorders>
              <w:top w:val="single" w:color="auto" w:sz="4" w:space="0"/>
              <w:left w:val="nil"/>
              <w:bottom w:val="single" w:color="auto" w:sz="4" w:space="0"/>
              <w:right w:val="single" w:color="auto" w:sz="4" w:space="0"/>
            </w:tcBorders>
            <w:noWrap w:val="0"/>
            <w:vAlign w:val="center"/>
          </w:tcPr>
          <w:p>
            <w:pPr>
              <w:widowControl/>
              <w:spacing w:before="100" w:line="280" w:lineRule="atLeast"/>
              <w:ind w:left="-360" w:firstLine="420" w:firstLineChars="200"/>
              <w:rPr>
                <w:rFonts w:hint="eastAsia"/>
              </w:rPr>
            </w:pPr>
            <w:r>
              <w:rPr>
                <w:rFonts w:hint="eastAsia"/>
              </w:rPr>
              <w:t>5</w:t>
            </w:r>
          </w:p>
        </w:tc>
        <w:tc>
          <w:tcPr>
            <w:tcW w:w="3885" w:type="dxa"/>
            <w:tcBorders>
              <w:top w:val="single" w:color="auto" w:sz="4" w:space="0"/>
              <w:left w:val="single" w:color="auto" w:sz="4" w:space="0"/>
              <w:bottom w:val="single" w:color="auto" w:sz="4" w:space="0"/>
              <w:right w:val="single" w:color="auto" w:sz="4" w:space="0"/>
            </w:tcBorders>
            <w:noWrap w:val="0"/>
            <w:vAlign w:val="center"/>
          </w:tcPr>
          <w:p>
            <w:pPr>
              <w:widowControl/>
              <w:spacing w:before="100" w:line="280" w:lineRule="atLeast"/>
              <w:ind w:left="-360" w:firstLine="420" w:firstLineChars="200"/>
              <w:rPr>
                <w:rFonts w:hint="eastAsia"/>
              </w:rPr>
            </w:pPr>
            <w:r>
              <w:rPr>
                <w:rFonts w:hint="eastAsia"/>
              </w:rPr>
              <w:t>120</w:t>
            </w:r>
          </w:p>
        </w:tc>
        <w:tc>
          <w:tcPr>
            <w:tcW w:w="3885" w:type="dxa"/>
            <w:tcBorders>
              <w:top w:val="single" w:color="auto" w:sz="4" w:space="0"/>
              <w:left w:val="single" w:color="auto" w:sz="4" w:space="0"/>
              <w:bottom w:val="single" w:color="auto" w:sz="4" w:space="0"/>
              <w:right w:val="nil"/>
            </w:tcBorders>
            <w:noWrap w:val="0"/>
            <w:vAlign w:val="center"/>
          </w:tcPr>
          <w:p>
            <w:pPr>
              <w:widowControl/>
              <w:spacing w:before="100" w:line="280" w:lineRule="atLeast"/>
              <w:ind w:left="-360" w:firstLine="420" w:firstLineChars="200"/>
              <w:rPr>
                <w:rFonts w:hint="eastAsia"/>
              </w:rPr>
            </w:pPr>
            <w:r>
              <w:rPr>
                <w:rFonts w:hint="eastAsia"/>
              </w:rPr>
              <w:t>150</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752" w:type="dxa"/>
            <w:tcBorders>
              <w:top w:val="single" w:color="auto" w:sz="4" w:space="0"/>
              <w:left w:val="nil"/>
              <w:bottom w:val="single" w:color="auto" w:sz="12" w:space="0"/>
              <w:right w:val="single" w:color="auto" w:sz="4" w:space="0"/>
            </w:tcBorders>
            <w:noWrap w:val="0"/>
            <w:vAlign w:val="center"/>
          </w:tcPr>
          <w:p>
            <w:pPr>
              <w:widowControl/>
              <w:spacing w:before="100" w:line="280" w:lineRule="atLeast"/>
              <w:ind w:left="-360" w:firstLine="420" w:firstLineChars="200"/>
              <w:rPr>
                <w:rFonts w:hint="eastAsia"/>
              </w:rPr>
            </w:pPr>
            <w:r>
              <w:rPr>
                <w:rFonts w:hint="eastAsia"/>
              </w:rPr>
              <w:t>6</w:t>
            </w:r>
          </w:p>
        </w:tc>
        <w:tc>
          <w:tcPr>
            <w:tcW w:w="3885" w:type="dxa"/>
            <w:tcBorders>
              <w:top w:val="single" w:color="auto" w:sz="4" w:space="0"/>
              <w:left w:val="single" w:color="auto" w:sz="4" w:space="0"/>
              <w:bottom w:val="single" w:color="auto" w:sz="12" w:space="0"/>
              <w:right w:val="single" w:color="auto" w:sz="4" w:space="0"/>
            </w:tcBorders>
            <w:noWrap w:val="0"/>
            <w:vAlign w:val="center"/>
          </w:tcPr>
          <w:p>
            <w:pPr>
              <w:widowControl/>
              <w:spacing w:before="100" w:line="280" w:lineRule="atLeast"/>
              <w:ind w:left="-360" w:firstLine="420" w:firstLineChars="200"/>
              <w:rPr>
                <w:rFonts w:hint="eastAsia"/>
              </w:rPr>
            </w:pPr>
            <w:r>
              <w:rPr>
                <w:rFonts w:hint="eastAsia"/>
              </w:rPr>
              <w:t>70</w:t>
            </w:r>
          </w:p>
        </w:tc>
        <w:tc>
          <w:tcPr>
            <w:tcW w:w="3885" w:type="dxa"/>
            <w:tcBorders>
              <w:top w:val="single" w:color="auto" w:sz="4" w:space="0"/>
              <w:left w:val="single" w:color="auto" w:sz="4" w:space="0"/>
              <w:bottom w:val="single" w:color="auto" w:sz="12" w:space="0"/>
              <w:right w:val="nil"/>
            </w:tcBorders>
            <w:noWrap w:val="0"/>
            <w:vAlign w:val="center"/>
          </w:tcPr>
          <w:p>
            <w:pPr>
              <w:widowControl/>
              <w:spacing w:before="100" w:line="280" w:lineRule="atLeast"/>
              <w:ind w:left="-360" w:firstLine="420" w:firstLineChars="200"/>
              <w:rPr>
                <w:rFonts w:hint="eastAsia"/>
              </w:rPr>
            </w:pPr>
            <w:r>
              <w:rPr>
                <w:rFonts w:hint="eastAsia"/>
              </w:rPr>
              <w:t>130</w:t>
            </w:r>
          </w:p>
        </w:tc>
      </w:tr>
    </w:tbl>
    <w:p>
      <w:pPr>
        <w:widowControl/>
        <w:spacing w:before="100" w:line="280" w:lineRule="atLeast"/>
        <w:ind w:left="-360" w:firstLine="420" w:firstLineChars="200"/>
      </w:pPr>
      <w:r>
        <w:rPr>
          <w:rFonts w:hint="eastAsia"/>
        </w:rPr>
        <w:t>要求：用高低点法将维修成本分解为变动成本和固定成本。</w:t>
      </w:r>
    </w:p>
    <w:p>
      <w:pPr>
        <w:widowControl/>
        <w:spacing w:before="100" w:line="280" w:lineRule="atLeast"/>
        <w:rPr>
          <w:rFonts w:hint="eastAsia"/>
        </w:rPr>
      </w:pPr>
    </w:p>
    <w:p>
      <w:pPr>
        <w:widowControl/>
        <w:spacing w:before="100" w:line="280" w:lineRule="atLeast"/>
        <w:ind w:left="-360" w:firstLine="420" w:firstLineChars="200"/>
        <w:rPr>
          <w:rFonts w:hint="eastAsia"/>
        </w:rPr>
      </w:pPr>
      <w:r>
        <w:rPr>
          <w:rFonts w:hint="eastAsia"/>
        </w:rPr>
        <w:t>2、甲企业盈亏临界点的销售量为2500件,预计正常销售量为4000件,销售单价为50元。</w:t>
      </w:r>
    </w:p>
    <w:p>
      <w:pPr>
        <w:widowControl/>
        <w:spacing w:before="100" w:line="280" w:lineRule="atLeast"/>
        <w:ind w:left="-360" w:firstLine="420" w:firstLineChars="200"/>
        <w:rPr>
          <w:rFonts w:hint="eastAsia"/>
        </w:rPr>
      </w:pPr>
      <w:r>
        <w:rPr>
          <w:rFonts w:hint="eastAsia"/>
        </w:rPr>
        <w:t>要求：求安全边际和安全边际率</w:t>
      </w:r>
    </w:p>
    <w:p>
      <w:pPr>
        <w:spacing w:line="360" w:lineRule="auto"/>
        <w:rPr>
          <w:rFonts w:ascii="宋体" w:hAnsi="宋体"/>
          <w:szCs w:val="21"/>
        </w:rPr>
      </w:pPr>
    </w:p>
    <w:p>
      <w:pPr>
        <w:widowControl/>
        <w:spacing w:before="100" w:line="280" w:lineRule="atLeast"/>
        <w:rPr>
          <w:rFonts w:hint="eastAsia"/>
        </w:rPr>
      </w:pPr>
    </w:p>
    <w:p>
      <w:pPr>
        <w:spacing w:line="360" w:lineRule="auto"/>
        <w:rPr>
          <w:rFonts w:hint="eastAsia" w:ascii="宋体" w:hAnsi="宋体"/>
          <w:szCs w:val="21"/>
        </w:rPr>
      </w:pPr>
    </w:p>
    <w:p>
      <w:pPr>
        <w:spacing w:line="360" w:lineRule="auto"/>
        <w:ind w:firstLine="420" w:firstLineChars="200"/>
        <w:rPr>
          <w:rFonts w:ascii="宋体" w:hAnsi="宋体"/>
          <w:szCs w:val="21"/>
        </w:rPr>
      </w:pPr>
    </w:p>
    <w:p>
      <w:pPr>
        <w:spacing w:line="360" w:lineRule="auto"/>
        <w:rPr>
          <w:rFonts w:hint="eastAsia" w:ascii="宋体" w:hAnsi="宋体"/>
          <w:b/>
          <w:bCs/>
          <w:sz w:val="32"/>
          <w:szCs w:val="32"/>
          <w:lang w:val="en-US" w:eastAsia="zh-CN"/>
        </w:rPr>
      </w:pPr>
      <w:r>
        <w:rPr>
          <w:rFonts w:hint="eastAsia" w:ascii="宋体" w:hAnsi="宋体"/>
          <w:b/>
          <w:bCs/>
          <w:sz w:val="32"/>
          <w:szCs w:val="32"/>
          <w:lang w:val="en-US" w:eastAsia="zh-CN"/>
        </w:rPr>
        <w:t>参考答案</w:t>
      </w:r>
    </w:p>
    <w:p>
      <w:pPr>
        <w:numPr>
          <w:ilvl w:val="0"/>
          <w:numId w:val="1"/>
        </w:numPr>
        <w:spacing w:line="360" w:lineRule="auto"/>
        <w:rPr>
          <w:rFonts w:hint="eastAsia" w:ascii="宋体" w:hAnsi="宋体"/>
          <w:b/>
          <w:bCs/>
          <w:szCs w:val="21"/>
        </w:rPr>
      </w:pPr>
      <w:r>
        <w:rPr>
          <w:rFonts w:hint="eastAsia" w:ascii="宋体" w:hAnsi="宋体"/>
          <w:b/>
          <w:bCs/>
          <w:szCs w:val="21"/>
        </w:rPr>
        <w:t>单选题</w:t>
      </w:r>
    </w:p>
    <w:p>
      <w:pPr>
        <w:spacing w:before="156" w:beforeLines="50"/>
        <w:rPr>
          <w:rFonts w:ascii="宋体" w:hAnsi="宋体"/>
          <w:szCs w:val="21"/>
        </w:rPr>
      </w:pPr>
      <w:r>
        <w:rPr>
          <w:rFonts w:hint="eastAsia" w:ascii="宋体" w:hAnsi="宋体"/>
          <w:szCs w:val="21"/>
          <w:lang w:val="en-US" w:eastAsia="zh-CN"/>
        </w:rPr>
        <w:t xml:space="preserve">1-5 </w:t>
      </w:r>
      <w:r>
        <w:rPr>
          <w:rFonts w:hint="eastAsia" w:ascii="宋体" w:hAnsi="宋体"/>
          <w:szCs w:val="21"/>
        </w:rPr>
        <w:t>CBBCC</w:t>
      </w:r>
      <w:r>
        <w:rPr>
          <w:rFonts w:hint="eastAsia" w:ascii="宋体" w:hAnsi="宋体"/>
          <w:szCs w:val="21"/>
          <w:lang w:val="en-US" w:eastAsia="zh-CN"/>
        </w:rPr>
        <w:t xml:space="preserve"> </w:t>
      </w:r>
      <w:r>
        <w:rPr>
          <w:rFonts w:hint="eastAsia" w:ascii="宋体" w:hAnsi="宋体"/>
          <w:szCs w:val="21"/>
        </w:rPr>
        <w:t xml:space="preserve"> </w:t>
      </w:r>
    </w:p>
    <w:p>
      <w:pPr>
        <w:spacing w:line="360" w:lineRule="auto"/>
        <w:rPr>
          <w:rFonts w:hint="eastAsia" w:ascii="宋体" w:hAnsi="宋体"/>
          <w:b/>
          <w:bCs/>
          <w:szCs w:val="21"/>
        </w:rPr>
      </w:pPr>
    </w:p>
    <w:p>
      <w:pPr>
        <w:numPr>
          <w:ilvl w:val="0"/>
          <w:numId w:val="1"/>
        </w:numPr>
        <w:spacing w:line="360" w:lineRule="auto"/>
        <w:rPr>
          <w:rFonts w:hint="eastAsia" w:ascii="宋体" w:hAnsi="宋体"/>
          <w:b/>
          <w:bCs/>
          <w:szCs w:val="21"/>
        </w:rPr>
      </w:pPr>
      <w:r>
        <w:rPr>
          <w:rFonts w:hint="eastAsia" w:ascii="宋体" w:hAnsi="宋体"/>
          <w:b/>
          <w:bCs/>
          <w:szCs w:val="21"/>
        </w:rPr>
        <w:t>多选题</w:t>
      </w:r>
    </w:p>
    <w:p>
      <w:pPr>
        <w:spacing w:before="156" w:beforeLines="50"/>
        <w:rPr>
          <w:rFonts w:ascii="宋体" w:hAnsi="宋体"/>
          <w:b/>
          <w:bCs/>
          <w:szCs w:val="21"/>
        </w:rPr>
      </w:pPr>
      <w:r>
        <w:rPr>
          <w:rFonts w:hint="eastAsia" w:ascii="宋体" w:hAnsi="宋体"/>
          <w:szCs w:val="21"/>
          <w:lang w:val="en-US" w:eastAsia="zh-CN"/>
        </w:rPr>
        <w:t xml:space="preserve">1-3 </w:t>
      </w:r>
      <w:r>
        <w:rPr>
          <w:rFonts w:hint="eastAsia" w:ascii="宋体" w:hAnsi="宋体"/>
          <w:szCs w:val="21"/>
        </w:rPr>
        <w:t xml:space="preserve">ABCD   ABC   ABC    </w:t>
      </w:r>
    </w:p>
    <w:p>
      <w:pPr>
        <w:spacing w:before="156" w:beforeLines="50"/>
        <w:rPr>
          <w:rFonts w:hint="eastAsia" w:ascii="宋体" w:hAnsi="宋体"/>
          <w:b/>
          <w:bCs/>
          <w:szCs w:val="21"/>
        </w:rPr>
      </w:pPr>
    </w:p>
    <w:p>
      <w:pPr>
        <w:spacing w:line="360" w:lineRule="auto"/>
        <w:rPr>
          <w:rFonts w:hint="eastAsia" w:ascii="宋体" w:hAnsi="宋体"/>
          <w:b/>
          <w:szCs w:val="21"/>
        </w:rPr>
      </w:pPr>
      <w:r>
        <w:rPr>
          <w:rFonts w:hint="eastAsia" w:ascii="宋体" w:hAnsi="宋体"/>
          <w:b/>
          <w:szCs w:val="21"/>
        </w:rPr>
        <w:t>三、判断题</w:t>
      </w:r>
    </w:p>
    <w:p>
      <w:pPr>
        <w:spacing w:line="360" w:lineRule="auto"/>
        <w:rPr>
          <w:rFonts w:hint="eastAsia" w:ascii="宋体" w:hAnsi="宋体"/>
          <w:b/>
          <w:bCs/>
          <w:szCs w:val="21"/>
        </w:rPr>
      </w:pPr>
      <w:r>
        <w:rPr>
          <w:rFonts w:hint="eastAsia" w:ascii="Arial" w:hAnsi="Arial" w:cs="Arial"/>
          <w:szCs w:val="21"/>
          <w:lang w:val="en-US" w:eastAsia="zh-CN"/>
        </w:rPr>
        <w:t xml:space="preserve">1-5 </w:t>
      </w:r>
      <w:r>
        <w:rPr>
          <w:rFonts w:ascii="Arial" w:hAnsi="Arial" w:cs="Arial"/>
          <w:szCs w:val="21"/>
        </w:rPr>
        <w:t>√√×××</w:t>
      </w:r>
      <w:r>
        <w:rPr>
          <w:rFonts w:hint="eastAsia" w:ascii="宋体" w:hAnsi="宋体"/>
          <w:szCs w:val="21"/>
        </w:rPr>
        <w:t xml:space="preserve">   </w:t>
      </w:r>
      <w:r>
        <w:rPr>
          <w:rFonts w:hint="eastAsia" w:ascii="宋体" w:hAnsi="宋体"/>
          <w:szCs w:val="21"/>
          <w:lang w:val="en-US" w:eastAsia="zh-CN"/>
        </w:rPr>
        <w:t>6-8</w:t>
      </w:r>
      <w:r>
        <w:rPr>
          <w:rFonts w:hint="eastAsia" w:ascii="宋体" w:hAnsi="宋体"/>
          <w:szCs w:val="21"/>
        </w:rPr>
        <w:t xml:space="preserve"> </w:t>
      </w:r>
      <w:r>
        <w:rPr>
          <w:rFonts w:ascii="Arial" w:hAnsi="Arial" w:cs="Arial"/>
          <w:szCs w:val="21"/>
        </w:rPr>
        <w:t>√√√</w:t>
      </w:r>
    </w:p>
    <w:p>
      <w:pPr>
        <w:spacing w:line="360" w:lineRule="auto"/>
        <w:rPr>
          <w:rFonts w:hint="eastAsia" w:ascii="宋体" w:hAnsi="宋体"/>
          <w:b/>
          <w:bCs/>
          <w:szCs w:val="21"/>
        </w:rPr>
      </w:pPr>
      <w:r>
        <w:rPr>
          <w:rFonts w:hint="eastAsia" w:ascii="宋体" w:hAnsi="宋体"/>
          <w:b/>
          <w:bCs/>
          <w:szCs w:val="21"/>
        </w:rPr>
        <w:t>四、名词解释</w:t>
      </w:r>
    </w:p>
    <w:p>
      <w:pPr>
        <w:spacing w:before="156" w:beforeLines="50"/>
        <w:rPr>
          <w:rFonts w:hint="eastAsia" w:ascii="宋体" w:hAnsi="宋体"/>
          <w:szCs w:val="21"/>
        </w:rPr>
      </w:pPr>
      <w:r>
        <w:rPr>
          <w:rFonts w:hint="eastAsia" w:ascii="宋体" w:hAnsi="宋体"/>
          <w:szCs w:val="21"/>
        </w:rPr>
        <w:t>1、净现值：在方案的整个实施过程中，所有现金净流入年份的现值之和与所有现金净流出年份的现值之和的差额。</w:t>
      </w:r>
    </w:p>
    <w:p>
      <w:pPr>
        <w:spacing w:before="156" w:beforeLines="50"/>
        <w:rPr>
          <w:rFonts w:ascii="宋体" w:hAnsi="宋体"/>
          <w:szCs w:val="21"/>
        </w:rPr>
      </w:pPr>
      <w:r>
        <w:rPr>
          <w:rFonts w:hint="eastAsia" w:ascii="宋体" w:hAnsi="宋体"/>
          <w:szCs w:val="21"/>
        </w:rPr>
        <w:t>2、盈亏临界点：指收入和成本刚好相抵时的销售量或销售额。</w:t>
      </w:r>
    </w:p>
    <w:p>
      <w:pPr>
        <w:spacing w:before="156" w:beforeLines="50"/>
        <w:rPr>
          <w:rFonts w:hint="eastAsia" w:ascii="宋体" w:hAnsi="宋体"/>
          <w:szCs w:val="21"/>
        </w:rPr>
      </w:pPr>
      <w:r>
        <w:rPr>
          <w:rFonts w:hint="eastAsia" w:ascii="宋体" w:hAnsi="宋体"/>
          <w:szCs w:val="21"/>
        </w:rPr>
        <w:t>3、本-量-利分析: 是成本、业务量和利润三者依存关系分析的简称，它是指在成本习性分析的基础上，运用数学模型和图式，对成本、利润、业务量与单价等因素之间的依存关系进行具体的分析，研究其变动的规律性，以便为企业进行经营决策和目标控制提供有效信息的一种方法。</w:t>
      </w:r>
    </w:p>
    <w:p>
      <w:pPr>
        <w:spacing w:line="360" w:lineRule="auto"/>
        <w:rPr>
          <w:rFonts w:hint="eastAsia" w:ascii="宋体" w:hAnsi="宋体"/>
          <w:b/>
          <w:bCs/>
          <w:szCs w:val="21"/>
        </w:rPr>
      </w:pPr>
      <w:r>
        <w:rPr>
          <w:rFonts w:hint="eastAsia"/>
          <w:b/>
          <w:bCs/>
        </w:rPr>
        <w:t xml:space="preserve">                                                                  </w:t>
      </w:r>
    </w:p>
    <w:p>
      <w:pPr>
        <w:spacing w:line="360" w:lineRule="auto"/>
        <w:rPr>
          <w:rFonts w:hint="eastAsia" w:ascii="宋体" w:hAnsi="宋体"/>
          <w:b/>
          <w:bCs/>
          <w:szCs w:val="21"/>
        </w:rPr>
      </w:pPr>
      <w:r>
        <w:rPr>
          <w:rFonts w:hint="eastAsia" w:ascii="宋体" w:hAnsi="宋体"/>
          <w:b/>
          <w:bCs/>
          <w:szCs w:val="21"/>
        </w:rPr>
        <w:t>五、计算题</w:t>
      </w:r>
    </w:p>
    <w:p>
      <w:pPr>
        <w:spacing w:before="156" w:beforeLines="50"/>
        <w:rPr>
          <w:rFonts w:hint="eastAsia" w:ascii="宋体" w:hAnsi="宋体"/>
          <w:szCs w:val="21"/>
        </w:rPr>
      </w:pPr>
      <w:r>
        <w:rPr>
          <w:rFonts w:hint="eastAsia" w:ascii="宋体" w:hAnsi="宋体"/>
          <w:szCs w:val="21"/>
        </w:rPr>
        <w:t>1、高低点法：b=0.4   a=102    维修成本y=102+0.4x</w:t>
      </w:r>
    </w:p>
    <w:p>
      <w:pPr>
        <w:spacing w:before="156" w:beforeLines="50"/>
        <w:rPr>
          <w:rFonts w:hint="eastAsia" w:ascii="宋体" w:hAnsi="宋体"/>
          <w:szCs w:val="21"/>
        </w:rPr>
      </w:pPr>
    </w:p>
    <w:p>
      <w:pPr>
        <w:spacing w:before="156" w:beforeLines="50"/>
        <w:rPr>
          <w:rFonts w:ascii="宋体" w:hAnsi="宋体"/>
          <w:szCs w:val="21"/>
        </w:rPr>
      </w:pPr>
      <w:r>
        <w:rPr>
          <w:rFonts w:hint="eastAsia" w:ascii="宋体" w:hAnsi="宋体"/>
          <w:szCs w:val="21"/>
        </w:rPr>
        <w:t xml:space="preserve">2、解： </w:t>
      </w:r>
      <w:r>
        <w:rPr>
          <w:rFonts w:ascii="宋体" w:hAnsi="宋体"/>
          <w:szCs w:val="21"/>
        </w:rPr>
        <w:t>安全边际=4000-2500=1500(件)或</w:t>
      </w:r>
      <w:r>
        <w:rPr>
          <w:rFonts w:ascii="宋体" w:hAnsi="宋体"/>
          <w:szCs w:val="21"/>
        </w:rPr>
        <w:tab/>
      </w:r>
      <w:r>
        <w:rPr>
          <w:rFonts w:ascii="宋体" w:hAnsi="宋体"/>
          <w:szCs w:val="21"/>
        </w:rPr>
        <w:t>=4000×50-2500×50=75000(元)</w:t>
      </w:r>
    </w:p>
    <w:p>
      <w:pPr>
        <w:spacing w:before="156" w:beforeLines="50"/>
        <w:rPr>
          <w:rFonts w:ascii="宋体" w:hAnsi="宋体"/>
          <w:szCs w:val="21"/>
        </w:rPr>
      </w:pPr>
      <w:r>
        <w:rPr>
          <w:rFonts w:ascii="宋体" w:hAnsi="宋体"/>
          <w:szCs w:val="21"/>
        </w:rPr>
        <w:t>安全边际率=1500/4000×100%=37.5%     或安全边际率 =75000/(4000×50)×100%=37.5%</w:t>
      </w:r>
    </w:p>
    <w:p>
      <w:pPr>
        <w:rPr>
          <w:rFonts w:ascii="宋体" w:hAnsi="宋体"/>
          <w:szCs w:val="21"/>
        </w:rPr>
      </w:pPr>
    </w:p>
    <w:p>
      <w:pPr>
        <w:spacing w:line="300" w:lineRule="auto"/>
        <w:jc w:val="center"/>
        <w:outlineLvl w:val="0"/>
        <w:rPr>
          <w:rFonts w:hint="eastAsia" w:ascii="宋体" w:hAnsi="宋体"/>
          <w:sz w:val="30"/>
          <w:szCs w:val="28"/>
        </w:rPr>
      </w:pPr>
    </w:p>
    <w:p>
      <w:pPr>
        <w:spacing w:before="156" w:beforeLines="50"/>
        <w:rPr>
          <w:rFonts w:hint="eastAsia"/>
          <w:b/>
          <w:bCs/>
        </w:rPr>
      </w:pPr>
      <w:r>
        <w:rPr>
          <w:rFonts w:hint="eastAsia"/>
          <w:b/>
          <w:bCs/>
        </w:rPr>
        <w:t xml:space="preserve">                         </w:t>
      </w:r>
    </w:p>
    <w:p>
      <w:pPr>
        <w:rPr>
          <w:rFonts w:hint="eastAsia"/>
          <w:b/>
          <w:bCs/>
        </w:rPr>
      </w:pPr>
      <w:r>
        <w:rPr>
          <w:rFonts w:hint="eastAsia"/>
          <w:b/>
          <w:bCs/>
        </w:rPr>
        <w:t xml:space="preserve"> </w:t>
      </w:r>
    </w:p>
    <w:p>
      <w:pPr>
        <w:spacing w:line="360" w:lineRule="auto"/>
        <w:jc w:val="left"/>
        <w:rPr>
          <w:rFonts w:hint="eastAsia" w:ascii="宋体" w:hAnsi="宋体"/>
          <w:bCs/>
          <w:szCs w:val="21"/>
        </w:rPr>
      </w:pPr>
    </w:p>
    <w:p>
      <w:pPr>
        <w:spacing w:line="360" w:lineRule="auto"/>
        <w:ind w:firstLine="420" w:firstLineChars="200"/>
        <w:rPr>
          <w:rFonts w:hint="default" w:ascii="宋体" w:hAnsi="宋体"/>
          <w:szCs w:val="21"/>
          <w:lang w:val="en-US" w:eastAsia="zh-CN"/>
        </w:rPr>
      </w:pPr>
    </w:p>
    <w:p>
      <w:pPr>
        <w:spacing w:line="360" w:lineRule="auto"/>
        <w:rPr>
          <w:rFonts w:hint="eastAsia"/>
        </w:rPr>
      </w:pPr>
    </w:p>
    <w:p>
      <w:pPr>
        <w:rPr>
          <w:rFonts w:hint="default"/>
          <w:b/>
          <w:bCs/>
          <w:sz w:val="36"/>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E8B00D"/>
    <w:multiLevelType w:val="singleLevel"/>
    <w:tmpl w:val="23E8B00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5A4B2A2E"/>
    <w:rsid w:val="405E3711"/>
    <w:rsid w:val="5A4B2A2E"/>
    <w:rsid w:val="619F772F"/>
    <w:rsid w:val="664C23E4"/>
    <w:rsid w:val="6EA34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2023-12-06T01:59:00Z</dcterms:created>
  <dc:creator>海之韵</dc:creator>
  <cp:lastModifiedBy>育华教育叶燮燮</cp:lastModifiedBy>
  <dcterms:modified xsi:type="dcterms:W3CDTF">2023-12-07T08:18:51Z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60459A2C085D4CF7AAD107BB18A4B2E4_11</vt:lpwstr>
  </property>
</Properties>
</file>