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8D6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管理会计复习资料</w:t>
      </w:r>
    </w:p>
    <w:p w14:paraId="052DCD0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 w14:paraId="10BC74F2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将成本区分为制造成本和非制造成本的分类标准是（ 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成本性态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成本核算目标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经济用途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成本的可追溯性</w:t>
      </w:r>
    </w:p>
    <w:p w14:paraId="4F0E415A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在相关范围内，单位变动成本（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随业务量的增加而减少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随业务量的增加而增加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在各种业务量水平下保持不变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在不同的业务量水平下各不相同</w:t>
      </w:r>
    </w:p>
    <w:p w14:paraId="268C3649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3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混合成本分解的“高低点法”中，计算单位变动成本时，所使用的业务量数据是（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最高点业务量和最低点业务量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最高点成本和最低点成本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最高点业务量和成本、最低点业务量和成本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最高点成本与最低点成本之差，除以最高点业务量与最低点业务量之差</w:t>
      </w:r>
    </w:p>
    <w:p w14:paraId="5518F55F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4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在盈亏临界图中，盈亏临界点的位置取决于（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固定成本、单位变动成本、销售单价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固定成本、销售单价、销售量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变动成本、销售单价、销售量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固定成本、单位变动成本、销售量</w:t>
      </w:r>
    </w:p>
    <w:p w14:paraId="5477EB89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5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某企业只生产一种产品，单价6元，单位变动生产成本4元，单位变动销售和管理成本0.5元，销量500件，则其产品边际贡献为（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650元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750元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850元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950元</w:t>
      </w:r>
    </w:p>
    <w:p w14:paraId="496E76A9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6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在下列指标中，可据以判断企业经营安全程度的指标是（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盈亏临界点销售量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边际贡献率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保本作业率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安全边际率</w:t>
      </w:r>
    </w:p>
    <w:p w14:paraId="509FDADB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7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在全面预算体系中，作为整个企业预算编制起点的是（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销售预算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生产预算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现金预算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产品成本预算</w:t>
      </w:r>
    </w:p>
    <w:p w14:paraId="6E629526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二、多选题</w:t>
      </w:r>
    </w:p>
    <w:p w14:paraId="052F4AAE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本-量-利分析的基本假设有（      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</w:p>
    <w:p w14:paraId="3BB8087A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A.相关范围假设                  B.模型线性假设</w:t>
      </w:r>
    </w:p>
    <w:p w14:paraId="7DB71E76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C.产销平衡假设                  D.品种结构不变假设</w:t>
      </w:r>
    </w:p>
    <w:p w14:paraId="304ADD0E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2、下列项目中，属于管理会计定量分析方法的是(      )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</w:p>
    <w:p w14:paraId="1AA7219F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A.算术平均法                    B.平滑指数法  </w:t>
      </w:r>
    </w:p>
    <w:p w14:paraId="4CC1FCD8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C.回归分析法                    D.判断分析法 </w:t>
      </w:r>
    </w:p>
    <w:p w14:paraId="106173C6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3、下列公式中，关于本量利分析关系表述正确的有（     ）</w:t>
      </w:r>
      <w:r>
        <w:rPr>
          <w:rStyle w:val="4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 盈亏临界点销售额 = 固定成本 / 边际贡献率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B. 安全边际率 + 边际贡献率 = 1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C. 利润 = 安全边际额 × 边际贡献率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D. 边际贡献率 + 变动成本率 = 1</w:t>
      </w:r>
    </w:p>
    <w:p w14:paraId="1AC0A98B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三、判断题</w:t>
      </w:r>
    </w:p>
    <w:p w14:paraId="580E7061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管理会计的主要目标是为企业内部管理者提供决策有用的信息。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5444E392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在盈亏临界点上，企业的利润为零。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36DD4611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变动成本法下，产品成本只包括直接材料、直接人工和变动制造费用。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5BBB7F8B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平衡计分卡只关注财务指标，不关注非财务指标。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2BD3EFD6">
      <w:pPr>
        <w:spacing w:line="360" w:lineRule="auto"/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零基预算是以历史预算数据为基础，考虑预算期的变化因素进行编制。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720E2DE3">
      <w:pPr>
        <w:spacing w:line="360" w:lineRule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Style w:val="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在是否停产某种亏损产品的决策中，如果该产品能提供正的边际贡献，则通常不应停产。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32F3FC0D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  <w:lang w:val="en-US" w:eastAsia="zh-CN"/>
        </w:rPr>
      </w:pPr>
    </w:p>
    <w:p w14:paraId="1AD007C7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  <w:lang w:val="en-US" w:eastAsia="zh-CN"/>
        </w:rPr>
      </w:pPr>
    </w:p>
    <w:p w14:paraId="26B17DAE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四、名词解释</w:t>
      </w:r>
    </w:p>
    <w:p w14:paraId="504320E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hint="eastAsia" w:cs="Times New Roman"/>
          <w:lang w:val="en-US" w:eastAsia="zh-CN"/>
        </w:rPr>
        <w:t>成本形态</w:t>
      </w:r>
    </w:p>
    <w:p w14:paraId="671E6A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eastAsia" w:cs="Times New Roman"/>
          <w:lang w:val="en-US" w:eastAsia="zh-CN"/>
        </w:rPr>
      </w:pPr>
    </w:p>
    <w:p w14:paraId="5FCA300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 w:asciiTheme="minorHAnsi" w:hAnsiTheme="minorHAnsi" w:eastAsiaTheme="minorEastAsia"/>
          <w:kern w:val="2"/>
          <w:sz w:val="21"/>
          <w:szCs w:val="24"/>
          <w:lang w:val="en-US" w:eastAsia="zh-CN" w:bidi="ar-SA"/>
        </w:rPr>
        <w:t>2、</w:t>
      </w:r>
      <w:r>
        <w:rPr>
          <w:rFonts w:hint="eastAsia" w:cs="Times New Roman"/>
          <w:lang w:val="en-US" w:eastAsia="zh-CN"/>
        </w:rPr>
        <w:t>净现值</w:t>
      </w:r>
    </w:p>
    <w:p w14:paraId="5E36D16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jc w:val="both"/>
        <w:rPr>
          <w:rFonts w:hint="default" w:cs="Times New Roman"/>
          <w:lang w:val="en-US" w:eastAsia="zh-CN"/>
        </w:rPr>
      </w:pPr>
    </w:p>
    <w:p w14:paraId="121460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left="0" w:leftChars="0" w:right="0" w:rightChars="0" w:firstLine="0" w:firstLineChars="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 w:asciiTheme="minorHAnsi" w:hAnsiTheme="minorHAnsi" w:eastAsiaTheme="minorEastAsia"/>
          <w:kern w:val="2"/>
          <w:sz w:val="21"/>
          <w:szCs w:val="24"/>
          <w:lang w:val="en-US" w:eastAsia="zh-CN" w:bidi="ar-SA"/>
        </w:rPr>
        <w:t>3、</w:t>
      </w:r>
      <w:r>
        <w:rPr>
          <w:rFonts w:hint="eastAsia" w:cs="Times New Roman"/>
          <w:lang w:val="en-US" w:eastAsia="zh-CN"/>
        </w:rPr>
        <w:t>全面预算</w:t>
      </w:r>
    </w:p>
    <w:p w14:paraId="12BD67F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leftChars="0" w:right="0" w:rightChars="0"/>
        <w:jc w:val="both"/>
        <w:rPr>
          <w:rFonts w:hint="default" w:cs="Times New Roman"/>
          <w:lang w:val="en-US" w:eastAsia="zh-CN"/>
        </w:rPr>
      </w:pPr>
    </w:p>
    <w:p w14:paraId="45E34F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leftChars="0" w:right="0" w:rightChars="0"/>
        <w:jc w:val="both"/>
        <w:rPr>
          <w:rFonts w:hint="default" w:cs="Times New Roman"/>
          <w:lang w:val="en-US" w:eastAsia="zh-CN"/>
        </w:rPr>
      </w:pPr>
    </w:p>
    <w:p w14:paraId="47E7418D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五、计算题</w:t>
      </w:r>
    </w:p>
    <w:p w14:paraId="21EE776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1、某人计划每年年末存入银行10,000元，年利率5%，连续存款5年。请问第5年年末的本利和（普通年金终值）是多少？</w:t>
      </w:r>
      <w:r>
        <w:rPr>
          <w:rFonts w:hint="default" w:cs="Times New Roman"/>
          <w:lang w:val="en-US" w:eastAsia="zh-CN"/>
        </w:rPr>
        <w:t>已知 (F/A, 5%, 5) = 5.5256</w:t>
      </w:r>
    </w:p>
    <w:p w14:paraId="5E38433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006CD07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某公司只生产一种产品，单价50元，单位变动成本30元，全年固定成本总额为200,000元。计算该公司的保本销售量和保本销售额。</w:t>
      </w:r>
    </w:p>
    <w:p w14:paraId="014C846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default" w:cs="Times New Roman"/>
          <w:lang w:val="en-US" w:eastAsia="zh-CN"/>
        </w:rPr>
      </w:pPr>
    </w:p>
    <w:p w14:paraId="4CABCC5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某公司每年需要甲零件10,000个。如果外购，单价为18元。如果自制，单位变动生产成本为12元。并且需要每年额外追加专属固定成本40,000元。问：该公司应选择自制还是外购？</w:t>
      </w:r>
    </w:p>
    <w:p w14:paraId="74C9A0E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eastAsia" w:cs="Times New Roman"/>
          <w:b/>
          <w:bCs/>
          <w:lang w:val="en-US" w:eastAsia="zh-CN"/>
        </w:rPr>
      </w:pPr>
    </w:p>
    <w:p w14:paraId="1F4BD9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default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答案</w:t>
      </w:r>
    </w:p>
    <w:p w14:paraId="1912C10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 w14:paraId="5969D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CCDAB DA</w:t>
      </w:r>
    </w:p>
    <w:p w14:paraId="0B70E309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二、多选题</w:t>
      </w:r>
    </w:p>
    <w:p w14:paraId="13C0D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ABCD   ABC  ACD </w:t>
      </w:r>
    </w:p>
    <w:p w14:paraId="0F09610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三、判断题</w:t>
      </w:r>
    </w:p>
    <w:p w14:paraId="55828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Cs w:val="21"/>
          <w:lang w:val="en-US" w:eastAsia="zh-CN"/>
        </w:rPr>
      </w:pPr>
      <w:r>
        <w:rPr>
          <w:rFonts w:hint="default" w:ascii="Arial" w:hAnsi="Arial" w:cs="Arial"/>
          <w:szCs w:val="21"/>
          <w:lang w:val="en-US" w:eastAsia="zh-CN"/>
        </w:rPr>
        <w:t>√√√××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Cs w:val="21"/>
          <w:lang w:val="en-US" w:eastAsia="zh-CN"/>
        </w:rPr>
        <w:t>√</w:t>
      </w:r>
    </w:p>
    <w:p w14:paraId="55D10A42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四、名词解释</w:t>
      </w:r>
    </w:p>
    <w:p w14:paraId="13CB88D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hint="eastAsia" w:cs="Times New Roman"/>
          <w:lang w:val="en-US" w:eastAsia="zh-CN"/>
        </w:rPr>
        <w:t>成本形态</w:t>
      </w:r>
    </w:p>
    <w:p w14:paraId="07FCB17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指成本总额与业务量（如产量、销量）之间的依存关系。按照这种关系，成本通常被划分为固定成本、变动成本和混合成本三大类。</w:t>
      </w:r>
    </w:p>
    <w:p w14:paraId="5102F5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cs="Times New Roman" w:asciiTheme="minorHAnsi" w:hAnsiTheme="minorHAnsi" w:eastAsiaTheme="minorEastAsia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cs="Times New Roman"/>
          <w:lang w:val="en-US" w:eastAsia="zh-CN"/>
        </w:rPr>
        <w:t>净现值</w:t>
      </w:r>
    </w:p>
    <w:p w14:paraId="369926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是一项投资所产生的未来现金流量，按一定的贴现率（通常为资本成本或要求的最低报酬率）折算为现值，再减去初始投资额后的余额。</w:t>
      </w:r>
    </w:p>
    <w:p w14:paraId="6CCAA9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3</w:t>
      </w:r>
      <w:r>
        <w:rPr>
          <w:rFonts w:hint="eastAsia" w:cs="Times New Roman" w:asciiTheme="minorHAnsi" w:hAnsiTheme="minorHAnsi" w:eastAsiaTheme="minorEastAsia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cs="Times New Roman"/>
          <w:lang w:val="en-US" w:eastAsia="zh-CN"/>
        </w:rPr>
        <w:t>全面预算</w:t>
      </w:r>
    </w:p>
    <w:p w14:paraId="0FBE6CE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以战略规划为导向，对企业未来一定时期内的所有经营活动、投资活动和财务活动，通过数量形式进行的综合规划和预测。它通常包括业务预算、专门决策预算和财务预算三大部分。</w:t>
      </w:r>
    </w:p>
    <w:p w14:paraId="33FB6D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</w:p>
    <w:p w14:paraId="531AA126">
      <w:pPr>
        <w:numPr>
          <w:ilvl w:val="0"/>
          <w:numId w:val="2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计算题</w:t>
      </w:r>
    </w:p>
    <w:p w14:paraId="06DFDEF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普通年金终值 F = A × (F/A, i, n)</w:t>
      </w:r>
      <w:r>
        <w:rPr>
          <w:rFonts w:hint="default" w:cs="Times New Roman"/>
          <w:lang w:val="en-US" w:eastAsia="zh-CN"/>
        </w:rPr>
        <w:t>= 10,000 × 5.5256 = 55256 元</w:t>
      </w:r>
    </w:p>
    <w:p w14:paraId="72BA91B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单位边际贡献 = 50 - 30 = 20 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保本销售量 = 固定成本 / 单位边际贡献 = 200000 / 20 = 10000 件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保本销售额 = 10,000 × 50 = 500000 元 或 = 200000 / (20/50) = 200000 / 0.4 = 500000元</w:t>
      </w:r>
    </w:p>
    <w:p w14:paraId="7E1BC17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自制相关总成本 = 单位变动成本 × 需求量 + 专属固定成本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自制相关总成本 = 12 × 10000 + 40000 = 120000 + 40000 = 160000 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外购相关总成本 = 外购单价 × 需求量 = 18 × 10000 = 180000 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自制相关总成本 (160000元) &lt; 外购相关总成本 (180000元)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答：应选择自制，因为自制比外购每年节约20000元成本。</w:t>
      </w:r>
    </w:p>
    <w:p w14:paraId="1A5664BB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B61B9"/>
    <w:multiLevelType w:val="singleLevel"/>
    <w:tmpl w:val="CEDB61B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4C6E223"/>
    <w:multiLevelType w:val="singleLevel"/>
    <w:tmpl w:val="44C6E223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AECB08E"/>
    <w:multiLevelType w:val="singleLevel"/>
    <w:tmpl w:val="7AECB08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91AF6"/>
    <w:rsid w:val="7F69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2025-12-12T07:40:00Z</dcterms:created>
  <dc:creator>黄岩育华李才聪</dc:creator>
  <cp:lastModifiedBy>黄岩育华李才聪</cp:lastModifiedBy>
  <dcterms:modified xsi:type="dcterms:W3CDTF">2025-12-12T07:44:27Z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00A384979848404E92D48BD36A876BB1_11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