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rPr>
          <w:rFonts w:hint="default" w:ascii="黑体" w:hAnsi="黑体" w:eastAsia="宋体"/>
          <w:color w:val="000000"/>
          <w:sz w:val="24"/>
          <w:lang w:val="en-US" w:eastAsia="zh-CN"/>
        </w:rPr>
      </w:pPr>
      <w:r>
        <w:rPr>
          <w:rFonts w:hint="eastAsia"/>
          <w:sz w:val="24"/>
          <w:u w:val="single"/>
        </w:rPr>
        <w:t>管理会计</w:t>
      </w:r>
      <w:r>
        <w:rPr>
          <w:rFonts w:hint="eastAsia"/>
          <w:sz w:val="24"/>
          <w:u w:val="single"/>
          <w:lang w:val="en-US" w:eastAsia="zh-CN"/>
        </w:rPr>
        <w:t>复习资料</w:t>
      </w:r>
    </w:p>
    <w:p>
      <w:pPr>
        <w:spacing w:line="320" w:lineRule="exact"/>
        <w:rPr>
          <w:rFonts w:ascii="黑体" w:hAnsi="黑体" w:eastAsia="黑体"/>
          <w:color w:val="000000"/>
          <w:sz w:val="24"/>
        </w:rPr>
      </w:pPr>
      <w:r>
        <w:rPr>
          <w:rFonts w:hint="eastAsia" w:ascii="黑体" w:hAnsi="黑体" w:eastAsia="黑体"/>
          <w:color w:val="000000"/>
          <w:sz w:val="24"/>
        </w:rPr>
        <w:t>一、单项选择题</w:t>
      </w:r>
    </w:p>
    <w:p>
      <w:pPr>
        <w:spacing w:line="320" w:lineRule="exact"/>
        <w:outlineLvl w:val="0"/>
        <w:rPr>
          <w:rFonts w:hint="eastAsia" w:asciiTheme="minorEastAsia" w:hAnsiTheme="minorEastAsia" w:eastAsiaTheme="minorEastAsia"/>
          <w:color w:val="000000"/>
          <w:szCs w:val="21"/>
          <w:lang w:eastAsia="zh-CN"/>
        </w:rPr>
      </w:pPr>
      <w:r>
        <w:rPr>
          <w:rFonts w:hint="eastAsia" w:asciiTheme="minorEastAsia" w:hAnsiTheme="minorEastAsia" w:eastAsiaTheme="minorEastAsia"/>
          <w:color w:val="000000"/>
          <w:szCs w:val="21"/>
        </w:rPr>
        <w:t>1．以下各种资金来源中，资本成本最低的是（　　　）</w:t>
      </w:r>
      <w:r>
        <w:rPr>
          <w:rFonts w:hint="eastAsia" w:asciiTheme="minorEastAsia" w:hAnsiTheme="minorEastAsia" w:eastAsiaTheme="minorEastAsia"/>
          <w:color w:val="000000"/>
          <w:szCs w:val="21"/>
          <w:lang w:eastAsia="zh-CN"/>
        </w:rPr>
        <w:t>。</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A．债券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B．优先股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C．普通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D．留存盈利</w:t>
      </w:r>
    </w:p>
    <w:p>
      <w:pPr>
        <w:spacing w:line="320" w:lineRule="exact"/>
        <w:outlineLvl w:val="0"/>
        <w:rPr>
          <w:rFonts w:hint="eastAsia" w:asciiTheme="minorEastAsia" w:hAnsiTheme="minorEastAsia" w:eastAsiaTheme="minorEastAsia"/>
          <w:color w:val="000000"/>
          <w:szCs w:val="21"/>
          <w:lang w:eastAsia="zh-CN"/>
        </w:rPr>
      </w:pPr>
      <w:r>
        <w:rPr>
          <w:rFonts w:hint="eastAsia" w:asciiTheme="minorEastAsia" w:hAnsiTheme="minorEastAsia" w:eastAsiaTheme="minorEastAsia"/>
          <w:color w:val="000000"/>
          <w:szCs w:val="21"/>
        </w:rPr>
        <w:t>2．下列各项中属于变动成本的是（　　　）</w:t>
      </w:r>
      <w:r>
        <w:rPr>
          <w:rFonts w:hint="eastAsia" w:asciiTheme="minorEastAsia" w:hAnsiTheme="minorEastAsia" w:eastAsiaTheme="minorEastAsia"/>
          <w:color w:val="000000"/>
          <w:szCs w:val="21"/>
          <w:lang w:eastAsia="zh-CN"/>
        </w:rPr>
        <w:t>。</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A．广告费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B．不动产财产税   C．管理人员工资   D．生产一线工人的工资</w:t>
      </w:r>
    </w:p>
    <w:p>
      <w:pPr>
        <w:spacing w:line="320" w:lineRule="exact"/>
        <w:outlineLvl w:val="0"/>
        <w:rPr>
          <w:rFonts w:hint="eastAsia" w:asciiTheme="minorEastAsia" w:hAnsiTheme="minorEastAsia" w:eastAsiaTheme="minorEastAsia"/>
          <w:color w:val="000000"/>
          <w:szCs w:val="21"/>
          <w:lang w:eastAsia="zh-CN"/>
        </w:rPr>
      </w:pPr>
      <w:r>
        <w:rPr>
          <w:rFonts w:hint="eastAsia" w:asciiTheme="minorEastAsia" w:hAnsiTheme="minorEastAsia" w:eastAsiaTheme="minorEastAsia"/>
          <w:color w:val="000000"/>
          <w:szCs w:val="21"/>
        </w:rPr>
        <w:t>3．管理会计为了有效地服务于企业内部的经营管理，必须（　　　）</w:t>
      </w:r>
      <w:r>
        <w:rPr>
          <w:rFonts w:hint="eastAsia" w:asciiTheme="minorEastAsia" w:hAnsiTheme="minorEastAsia" w:eastAsiaTheme="minorEastAsia"/>
          <w:color w:val="000000"/>
          <w:szCs w:val="21"/>
          <w:lang w:eastAsia="zh-CN"/>
        </w:rPr>
        <w:t>。</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A．反映过去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 B．面向未来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 xml:space="preserve">C．表述历史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D．反映现在</w:t>
      </w:r>
    </w:p>
    <w:p>
      <w:pPr>
        <w:spacing w:line="320" w:lineRule="exact"/>
        <w:outlineLvl w:val="0"/>
        <w:rPr>
          <w:rFonts w:hint="eastAsia" w:asciiTheme="minorEastAsia" w:hAnsiTheme="minorEastAsia" w:eastAsiaTheme="minorEastAsia"/>
          <w:color w:val="000000"/>
          <w:szCs w:val="21"/>
          <w:lang w:eastAsia="zh-CN"/>
        </w:rPr>
      </w:pPr>
      <w:r>
        <w:rPr>
          <w:rFonts w:hint="eastAsia" w:asciiTheme="minorEastAsia" w:hAnsiTheme="minorEastAsia" w:eastAsiaTheme="minorEastAsia"/>
          <w:color w:val="000000"/>
          <w:szCs w:val="21"/>
        </w:rPr>
        <w:t>4．变动成本计算法下，某期销货成本包括（　　　）</w:t>
      </w:r>
      <w:r>
        <w:rPr>
          <w:rFonts w:hint="eastAsia" w:asciiTheme="minorEastAsia" w:hAnsiTheme="minorEastAsia" w:eastAsiaTheme="minorEastAsia"/>
          <w:color w:val="000000"/>
          <w:szCs w:val="21"/>
          <w:lang w:eastAsia="zh-CN"/>
        </w:rPr>
        <w:t>。</w:t>
      </w:r>
      <w:bookmarkStart w:id="0" w:name="_GoBack"/>
      <w:bookmarkEnd w:id="0"/>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A．变动成本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B．变动生产成本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 xml:space="preserve">C．制造成本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D．固定生产成本</w:t>
      </w:r>
    </w:p>
    <w:p>
      <w:pPr>
        <w:spacing w:line="320" w:lineRule="exact"/>
        <w:outlineLvl w:val="0"/>
        <w:rPr>
          <w:rFonts w:hint="eastAsia" w:asciiTheme="minorEastAsia" w:hAnsiTheme="minorEastAsia" w:eastAsiaTheme="minorEastAsia"/>
          <w:color w:val="000000"/>
          <w:szCs w:val="21"/>
          <w:lang w:eastAsia="zh-CN"/>
        </w:rPr>
      </w:pPr>
      <w:r>
        <w:rPr>
          <w:rFonts w:hint="eastAsia" w:asciiTheme="minorEastAsia" w:hAnsiTheme="minorEastAsia" w:eastAsiaTheme="minorEastAsia"/>
          <w:color w:val="000000"/>
          <w:szCs w:val="21"/>
        </w:rPr>
        <w:t>5．以下各项中把决策会计放在首位的是（　　　）</w:t>
      </w:r>
      <w:r>
        <w:rPr>
          <w:rFonts w:hint="eastAsia" w:asciiTheme="minorEastAsia" w:hAnsiTheme="minorEastAsia" w:eastAsiaTheme="minorEastAsia"/>
          <w:color w:val="000000"/>
          <w:szCs w:val="21"/>
          <w:lang w:eastAsia="zh-CN"/>
        </w:rPr>
        <w:t>。</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A．责任会计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 xml:space="preserve">B．预算会计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C．执行性管理会计</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D．决策性管理会计</w:t>
      </w:r>
    </w:p>
    <w:p>
      <w:pPr>
        <w:spacing w:line="320" w:lineRule="exact"/>
        <w:outlineLvl w:val="0"/>
        <w:rPr>
          <w:rFonts w:hint="eastAsia" w:asciiTheme="minorEastAsia" w:hAnsiTheme="minorEastAsia" w:eastAsiaTheme="minorEastAsia"/>
          <w:color w:val="000000"/>
          <w:szCs w:val="21"/>
          <w:lang w:eastAsia="zh-CN"/>
        </w:rPr>
      </w:pPr>
      <w:r>
        <w:rPr>
          <w:rFonts w:hint="eastAsia" w:asciiTheme="minorEastAsia" w:hAnsiTheme="minorEastAsia" w:eastAsiaTheme="minorEastAsia"/>
          <w:color w:val="000000"/>
          <w:szCs w:val="21"/>
        </w:rPr>
        <w:t>6．某公司产销平衡，年销售额为1000万元，变动成本法下的产品成本总额600万元，固定成本为200万元，非生产成本为60万元，则该公司的税前净收益为（　　　）</w:t>
      </w:r>
      <w:r>
        <w:rPr>
          <w:rFonts w:hint="eastAsia" w:asciiTheme="minorEastAsia" w:hAnsiTheme="minorEastAsia" w:eastAsiaTheme="minorEastAsia"/>
          <w:color w:val="000000"/>
          <w:szCs w:val="21"/>
          <w:lang w:eastAsia="zh-CN"/>
        </w:rPr>
        <w:t>。</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A．140万元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B．200万元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C．260万元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D．340万元</w:t>
      </w:r>
    </w:p>
    <w:p>
      <w:pPr>
        <w:spacing w:line="320" w:lineRule="exact"/>
        <w:outlineLvl w:val="0"/>
        <w:rPr>
          <w:rFonts w:hint="eastAsia" w:asciiTheme="minorEastAsia" w:hAnsiTheme="minorEastAsia" w:eastAsiaTheme="minorEastAsia"/>
          <w:color w:val="000000"/>
          <w:szCs w:val="21"/>
          <w:lang w:eastAsia="zh-CN"/>
        </w:rPr>
      </w:pPr>
      <w:r>
        <w:rPr>
          <w:rFonts w:hint="eastAsia" w:asciiTheme="minorEastAsia" w:hAnsiTheme="minorEastAsia" w:eastAsiaTheme="minorEastAsia"/>
          <w:color w:val="000000"/>
          <w:szCs w:val="21"/>
        </w:rPr>
        <w:t>7．某企业计划生产一种产品，经研究，针对三种可能出现的市场状况，拟定了三种不同的方案，各种方案在三种市场状况下的损益情况如下表：（　　　）</w:t>
      </w:r>
      <w:r>
        <w:rPr>
          <w:rFonts w:hint="eastAsia" w:asciiTheme="minorEastAsia" w:hAnsiTheme="minorEastAsia" w:eastAsiaTheme="minorEastAsia"/>
          <w:color w:val="000000"/>
          <w:szCs w:val="21"/>
          <w:lang w:eastAsia="zh-CN"/>
        </w:rPr>
        <w:t>。</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ab/>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市场状况好</w:t>
      </w:r>
      <w:r>
        <w:rPr>
          <w:rFonts w:hint="eastAsia" w:asciiTheme="minorEastAsia" w:hAnsiTheme="minorEastAsia" w:eastAsiaTheme="minorEastAsia"/>
          <w:color w:val="000000"/>
          <w:szCs w:val="21"/>
        </w:rPr>
        <w:tab/>
      </w:r>
      <w:r>
        <w:rPr>
          <w:rFonts w:hint="eastAsia" w:asciiTheme="minorEastAsia" w:hAnsiTheme="minorEastAsia" w:eastAsiaTheme="minorEastAsia"/>
          <w:color w:val="000000"/>
          <w:szCs w:val="21"/>
        </w:rPr>
        <w:t>市场状况一般</w:t>
      </w:r>
      <w:r>
        <w:rPr>
          <w:rFonts w:hint="eastAsia" w:asciiTheme="minorEastAsia" w:hAnsiTheme="minorEastAsia" w:eastAsiaTheme="minorEastAsia"/>
          <w:color w:val="000000"/>
          <w:szCs w:val="21"/>
        </w:rPr>
        <w:tab/>
      </w:r>
      <w:r>
        <w:rPr>
          <w:rFonts w:hint="eastAsia" w:asciiTheme="minorEastAsia" w:hAnsiTheme="minorEastAsia" w:eastAsiaTheme="minorEastAsia"/>
          <w:color w:val="000000"/>
          <w:szCs w:val="21"/>
        </w:rPr>
        <w:t>市场状况差</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方案A</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500</w:t>
      </w:r>
      <w:r>
        <w:rPr>
          <w:rFonts w:asciiTheme="minorEastAsia" w:hAnsiTheme="minorEastAsia" w:eastAsiaTheme="minorEastAsia"/>
          <w:color w:val="000000"/>
          <w:szCs w:val="21"/>
        </w:rPr>
        <w:t xml:space="preserve">              200</w:t>
      </w:r>
      <w:r>
        <w:rPr>
          <w:rFonts w:asciiTheme="minorEastAsia" w:hAnsiTheme="minorEastAsia" w:eastAsiaTheme="minorEastAsia"/>
          <w:color w:val="000000"/>
          <w:szCs w:val="21"/>
        </w:rPr>
        <w:tab/>
      </w:r>
      <w:r>
        <w:rPr>
          <w:rFonts w:asciiTheme="minorEastAsia" w:hAnsiTheme="minorEastAsia" w:eastAsiaTheme="minorEastAsia"/>
          <w:color w:val="000000"/>
          <w:szCs w:val="21"/>
        </w:rPr>
        <w:t xml:space="preserve">       -100</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方案B</w:t>
      </w:r>
      <w:r>
        <w:rPr>
          <w:rFonts w:asciiTheme="minorEastAsia" w:hAnsiTheme="minorEastAsia" w:eastAsiaTheme="minorEastAsia"/>
          <w:color w:val="000000"/>
          <w:szCs w:val="21"/>
        </w:rPr>
        <w:t xml:space="preserve">   640              150           </w:t>
      </w:r>
      <w:r>
        <w:rPr>
          <w:rFonts w:hint="eastAsia" w:asciiTheme="minorEastAsia" w:hAnsiTheme="minorEastAsia" w:eastAsiaTheme="minorEastAsia"/>
          <w:color w:val="000000"/>
          <w:szCs w:val="21"/>
        </w:rPr>
        <w:t>-</w:t>
      </w:r>
      <w:r>
        <w:rPr>
          <w:rFonts w:asciiTheme="minorEastAsia" w:hAnsiTheme="minorEastAsia" w:eastAsiaTheme="minorEastAsia"/>
          <w:color w:val="000000"/>
          <w:szCs w:val="21"/>
        </w:rPr>
        <w:t>160</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方案C</w:t>
      </w:r>
      <w:r>
        <w:rPr>
          <w:rFonts w:hint="eastAsia" w:asciiTheme="minorEastAsia" w:hAnsiTheme="minorEastAsia" w:eastAsiaTheme="minorEastAsia"/>
          <w:color w:val="000000"/>
          <w:szCs w:val="21"/>
        </w:rPr>
        <w:tab/>
      </w:r>
      <w:r>
        <w:rPr>
          <w:rFonts w:asciiTheme="minorEastAsia" w:hAnsiTheme="minorEastAsia" w:eastAsiaTheme="minorEastAsia"/>
          <w:color w:val="000000"/>
          <w:szCs w:val="21"/>
        </w:rPr>
        <w:t>560              250            10</w:t>
      </w:r>
    </w:p>
    <w:p>
      <w:pPr>
        <w:spacing w:line="320" w:lineRule="exact"/>
        <w:outlineLvl w:val="0"/>
        <w:rPr>
          <w:rFonts w:hint="eastAsia" w:asciiTheme="minorEastAsia" w:hAnsiTheme="minorEastAsia" w:eastAsiaTheme="minorEastAsia"/>
          <w:color w:val="000000"/>
          <w:szCs w:val="21"/>
          <w:lang w:eastAsia="zh-CN"/>
        </w:rPr>
      </w:pPr>
      <w:r>
        <w:rPr>
          <w:rFonts w:hint="eastAsia" w:asciiTheme="minorEastAsia" w:hAnsiTheme="minorEastAsia" w:eastAsiaTheme="minorEastAsia"/>
          <w:color w:val="000000"/>
          <w:szCs w:val="21"/>
        </w:rPr>
        <w:t xml:space="preserve">根据小中取大法选择的生产方案是（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w:t>
      </w:r>
      <w:r>
        <w:rPr>
          <w:rFonts w:hint="eastAsia" w:asciiTheme="minorEastAsia" w:hAnsiTheme="minorEastAsia" w:eastAsiaTheme="minorEastAsia"/>
          <w:color w:val="000000"/>
          <w:szCs w:val="21"/>
          <w:lang w:eastAsia="zh-CN"/>
        </w:rPr>
        <w:t>。</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A．方案A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B．方案B</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C．方案C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D．无法选择</w:t>
      </w:r>
    </w:p>
    <w:p>
      <w:pPr>
        <w:spacing w:line="320" w:lineRule="exact"/>
        <w:outlineLvl w:val="0"/>
        <w:rPr>
          <w:rFonts w:hint="eastAsia" w:asciiTheme="minorEastAsia" w:hAnsiTheme="minorEastAsia" w:eastAsiaTheme="minorEastAsia"/>
          <w:color w:val="000000"/>
          <w:szCs w:val="21"/>
          <w:lang w:eastAsia="zh-CN"/>
        </w:rPr>
      </w:pPr>
      <w:r>
        <w:rPr>
          <w:rFonts w:hint="eastAsia" w:asciiTheme="minorEastAsia" w:hAnsiTheme="minorEastAsia" w:eastAsiaTheme="minorEastAsia"/>
          <w:color w:val="000000"/>
          <w:szCs w:val="21"/>
        </w:rPr>
        <w:t>8．全面预算的关键和起点是（　　　）</w:t>
      </w:r>
      <w:r>
        <w:rPr>
          <w:rFonts w:hint="eastAsia" w:asciiTheme="minorEastAsia" w:hAnsiTheme="minorEastAsia" w:eastAsiaTheme="minorEastAsia"/>
          <w:color w:val="000000"/>
          <w:szCs w:val="21"/>
          <w:lang w:eastAsia="zh-CN"/>
        </w:rPr>
        <w:t>。</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A．生产预算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B．利润预算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C．销售预算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D．成本预算</w:t>
      </w:r>
    </w:p>
    <w:p>
      <w:pPr>
        <w:spacing w:line="320" w:lineRule="exact"/>
        <w:outlineLvl w:val="0"/>
        <w:rPr>
          <w:rFonts w:hint="eastAsia" w:asciiTheme="minorEastAsia" w:hAnsiTheme="minorEastAsia" w:eastAsiaTheme="minorEastAsia"/>
          <w:color w:val="000000"/>
          <w:szCs w:val="21"/>
          <w:lang w:eastAsia="zh-CN"/>
        </w:rPr>
      </w:pPr>
      <w:r>
        <w:rPr>
          <w:rFonts w:hint="eastAsia" w:asciiTheme="minorEastAsia" w:hAnsiTheme="minorEastAsia" w:eastAsiaTheme="minorEastAsia"/>
          <w:color w:val="000000"/>
          <w:szCs w:val="21"/>
        </w:rPr>
        <w:t>9．本量利分析法的核心是确定（　　　）</w:t>
      </w:r>
      <w:r>
        <w:rPr>
          <w:rFonts w:hint="eastAsia" w:asciiTheme="minorEastAsia" w:hAnsiTheme="minorEastAsia" w:eastAsiaTheme="minorEastAsia"/>
          <w:color w:val="000000"/>
          <w:szCs w:val="21"/>
          <w:lang w:eastAsia="zh-CN"/>
        </w:rPr>
        <w:t>。</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A．目标利润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B．盈亏临界点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C．目标销量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D． 成本性态</w:t>
      </w:r>
    </w:p>
    <w:p>
      <w:pPr>
        <w:spacing w:line="320" w:lineRule="exact"/>
        <w:outlineLvl w:val="0"/>
        <w:rPr>
          <w:rFonts w:hint="eastAsia" w:asciiTheme="minorEastAsia" w:hAnsiTheme="minorEastAsia" w:eastAsiaTheme="minorEastAsia"/>
          <w:color w:val="000000"/>
          <w:szCs w:val="21"/>
          <w:lang w:eastAsia="zh-CN"/>
        </w:rPr>
      </w:pPr>
      <w:r>
        <w:rPr>
          <w:rFonts w:hint="eastAsia" w:asciiTheme="minorEastAsia" w:hAnsiTheme="minorEastAsia" w:eastAsiaTheme="minorEastAsia"/>
          <w:color w:val="000000"/>
          <w:szCs w:val="21"/>
        </w:rPr>
        <w:t>10．与某一特定决策方案没有直接联系的成本被称为（　　　）</w:t>
      </w:r>
      <w:r>
        <w:rPr>
          <w:rFonts w:hint="eastAsia" w:asciiTheme="minorEastAsia" w:hAnsiTheme="minorEastAsia" w:eastAsiaTheme="minorEastAsia"/>
          <w:color w:val="000000"/>
          <w:szCs w:val="21"/>
          <w:lang w:eastAsia="zh-CN"/>
        </w:rPr>
        <w:t>。</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A．可避免成本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B．可延缓成本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C．不可避免成本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D．不可延缓成本</w:t>
      </w:r>
    </w:p>
    <w:p>
      <w:pPr>
        <w:spacing w:line="320" w:lineRule="exact"/>
        <w:outlineLvl w:val="0"/>
        <w:rPr>
          <w:rFonts w:hint="eastAsia" w:asciiTheme="minorEastAsia" w:hAnsiTheme="minorEastAsia" w:eastAsiaTheme="minorEastAsia"/>
          <w:color w:val="000000"/>
          <w:szCs w:val="21"/>
          <w:lang w:eastAsia="zh-CN"/>
        </w:rPr>
      </w:pPr>
      <w:r>
        <w:rPr>
          <w:rFonts w:hint="eastAsia" w:asciiTheme="minorEastAsia" w:hAnsiTheme="minorEastAsia" w:eastAsiaTheme="minorEastAsia"/>
          <w:color w:val="000000"/>
          <w:szCs w:val="21"/>
        </w:rPr>
        <w:t>11．当企业的生产能力有剩余时，增加生产量会使得企业利润增加或亏损减少的条件是(</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w:t>
      </w:r>
      <w:r>
        <w:rPr>
          <w:rFonts w:hint="eastAsia" w:asciiTheme="minorEastAsia" w:hAnsiTheme="minorEastAsia" w:eastAsiaTheme="minorEastAsia"/>
          <w:color w:val="000000"/>
          <w:szCs w:val="21"/>
          <w:lang w:eastAsia="zh-CN"/>
        </w:rPr>
        <w:t>。</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A．增量的销量单价高于单位边际成本</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C．增量的销量单价高于基础生产量的销售单价</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B．增量的销量单价高于单位产品成本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D．增量的销量单价高于每单位产品固定成本分摊数</w:t>
      </w:r>
    </w:p>
    <w:p>
      <w:pPr>
        <w:spacing w:line="320" w:lineRule="exact"/>
        <w:outlineLvl w:val="0"/>
        <w:rPr>
          <w:rFonts w:hint="eastAsia" w:asciiTheme="minorEastAsia" w:hAnsiTheme="minorEastAsia" w:eastAsiaTheme="minorEastAsia"/>
          <w:color w:val="000000"/>
          <w:szCs w:val="21"/>
          <w:lang w:eastAsia="zh-CN"/>
        </w:rPr>
      </w:pPr>
      <w:r>
        <w:rPr>
          <w:rFonts w:hint="eastAsia" w:asciiTheme="minorEastAsia" w:hAnsiTheme="minorEastAsia" w:eastAsiaTheme="minorEastAsia"/>
          <w:color w:val="000000"/>
          <w:szCs w:val="21"/>
        </w:rPr>
        <w:t>12．将成本区分为制造成本和非制造成本的分类标志是（　　　）</w:t>
      </w:r>
      <w:r>
        <w:rPr>
          <w:rFonts w:hint="eastAsia" w:asciiTheme="minorEastAsia" w:hAnsiTheme="minorEastAsia" w:eastAsiaTheme="minorEastAsia"/>
          <w:color w:val="000000"/>
          <w:szCs w:val="21"/>
          <w:lang w:eastAsia="zh-CN"/>
        </w:rPr>
        <w:t>。</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A．经济用途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B．成本性态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C．可追踪性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D．可控性</w:t>
      </w:r>
    </w:p>
    <w:p>
      <w:pPr>
        <w:spacing w:line="320" w:lineRule="exact"/>
        <w:outlineLvl w:val="0"/>
        <w:rPr>
          <w:rFonts w:hint="eastAsia" w:asciiTheme="minorEastAsia" w:hAnsiTheme="minorEastAsia" w:eastAsiaTheme="minorEastAsia"/>
          <w:color w:val="000000"/>
          <w:szCs w:val="21"/>
          <w:lang w:eastAsia="zh-CN"/>
        </w:rPr>
      </w:pPr>
      <w:r>
        <w:rPr>
          <w:rFonts w:hint="eastAsia" w:asciiTheme="minorEastAsia" w:hAnsiTheme="minorEastAsia" w:eastAsiaTheme="minorEastAsia"/>
          <w:color w:val="000000"/>
          <w:szCs w:val="21"/>
        </w:rPr>
        <w:t>13．贡献毛益率的确定公式可表示为（　　　）</w:t>
      </w:r>
      <w:r>
        <w:rPr>
          <w:rFonts w:hint="eastAsia" w:asciiTheme="minorEastAsia" w:hAnsiTheme="minorEastAsia" w:eastAsiaTheme="minorEastAsia"/>
          <w:color w:val="000000"/>
          <w:szCs w:val="21"/>
          <w:lang w:eastAsia="zh-CN"/>
        </w:rPr>
        <w:t>。</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A． 固定成本/贡献毛益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B．销售收入/固定成本 </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C．变动成本/单位贡献毛益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D．贡献毛益/销售收入 </w:t>
      </w:r>
    </w:p>
    <w:p>
      <w:pPr>
        <w:spacing w:line="320" w:lineRule="exact"/>
        <w:outlineLvl w:val="0"/>
        <w:rPr>
          <w:rFonts w:hint="eastAsia" w:asciiTheme="minorEastAsia" w:hAnsiTheme="minorEastAsia" w:eastAsiaTheme="minorEastAsia"/>
          <w:color w:val="000000"/>
          <w:szCs w:val="21"/>
          <w:lang w:eastAsia="zh-CN"/>
        </w:rPr>
      </w:pPr>
      <w:r>
        <w:rPr>
          <w:rFonts w:hint="eastAsia" w:asciiTheme="minorEastAsia" w:hAnsiTheme="minorEastAsia" w:eastAsiaTheme="minorEastAsia"/>
          <w:color w:val="000000"/>
          <w:szCs w:val="21"/>
        </w:rPr>
        <w:t>14．盈亏临界点可按以下公式进行确定（　　　）</w:t>
      </w:r>
      <w:r>
        <w:rPr>
          <w:rFonts w:hint="eastAsia" w:asciiTheme="minorEastAsia" w:hAnsiTheme="minorEastAsia" w:eastAsiaTheme="minorEastAsia"/>
          <w:color w:val="000000"/>
          <w:szCs w:val="21"/>
          <w:lang w:eastAsia="zh-CN"/>
        </w:rPr>
        <w:t>。</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A．固定成本/单位变动成本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B．固定成本/单位贡献毛益 </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C．固定成本/单位售价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D．变动成本/单位售价 </w:t>
      </w:r>
    </w:p>
    <w:p>
      <w:pPr>
        <w:spacing w:line="320" w:lineRule="exact"/>
        <w:outlineLvl w:val="0"/>
        <w:rPr>
          <w:rFonts w:hint="eastAsia" w:asciiTheme="minorEastAsia" w:hAnsiTheme="minorEastAsia" w:eastAsiaTheme="minorEastAsia"/>
          <w:color w:val="000000"/>
          <w:szCs w:val="21"/>
          <w:lang w:eastAsia="zh-CN"/>
        </w:rPr>
      </w:pPr>
      <w:r>
        <w:rPr>
          <w:rFonts w:hint="eastAsia" w:asciiTheme="minorEastAsia" w:hAnsiTheme="minorEastAsia" w:eastAsiaTheme="minorEastAsia"/>
          <w:color w:val="000000"/>
          <w:szCs w:val="21"/>
        </w:rPr>
        <w:t>15．在下列各项中，考虑了预算期内不同业务量水平的预算方法被称为（　　　）</w:t>
      </w:r>
      <w:r>
        <w:rPr>
          <w:rFonts w:hint="eastAsia" w:asciiTheme="minorEastAsia" w:hAnsiTheme="minorEastAsia" w:eastAsiaTheme="minorEastAsia"/>
          <w:color w:val="000000"/>
          <w:szCs w:val="21"/>
          <w:lang w:eastAsia="zh-CN"/>
        </w:rPr>
        <w:t>。</w:t>
      </w:r>
    </w:p>
    <w:p>
      <w:pPr>
        <w:spacing w:line="320" w:lineRule="exact"/>
        <w:outlineLvl w:val="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A．固定预算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B．零基预算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 xml:space="preserve">C．滚动预算 </w:t>
      </w:r>
      <w:r>
        <w:rPr>
          <w:rFonts w:asciiTheme="minorEastAsia" w:hAnsiTheme="minorEastAsia" w:eastAsiaTheme="minorEastAsia"/>
          <w:color w:val="000000"/>
          <w:szCs w:val="21"/>
        </w:rPr>
        <w:t xml:space="preserve">   </w:t>
      </w:r>
      <w:r>
        <w:rPr>
          <w:rFonts w:hint="eastAsia" w:asciiTheme="minorEastAsia" w:hAnsiTheme="minorEastAsia" w:eastAsiaTheme="minorEastAsia"/>
          <w:color w:val="000000"/>
          <w:szCs w:val="21"/>
          <w:lang w:val="en-US" w:eastAsia="zh-CN"/>
        </w:rPr>
        <w:t xml:space="preserve">   </w:t>
      </w:r>
      <w:r>
        <w:rPr>
          <w:rFonts w:hint="eastAsia" w:asciiTheme="minorEastAsia" w:hAnsiTheme="minorEastAsia" w:eastAsiaTheme="minorEastAsia"/>
          <w:color w:val="000000"/>
          <w:szCs w:val="21"/>
        </w:rPr>
        <w:t>D．弹性预算</w:t>
      </w:r>
    </w:p>
    <w:p>
      <w:pPr>
        <w:spacing w:line="320" w:lineRule="exact"/>
        <w:outlineLvl w:val="0"/>
        <w:rPr>
          <w:rFonts w:ascii="黑体" w:hAnsi="黑体" w:eastAsia="黑体"/>
          <w:color w:val="000000"/>
          <w:sz w:val="24"/>
        </w:rPr>
      </w:pPr>
      <w:r>
        <w:rPr>
          <w:rFonts w:hint="eastAsia" w:ascii="黑体" w:hAnsi="黑体" w:eastAsia="黑体"/>
          <w:color w:val="000000"/>
          <w:sz w:val="24"/>
        </w:rPr>
        <w:t>二、判断题</w:t>
      </w:r>
    </w:p>
    <w:p>
      <w:pPr>
        <w:jc w:val="left"/>
        <w:rPr>
          <w:rFonts w:ascii="宋体" w:hAnsi="宋体"/>
        </w:rPr>
      </w:pPr>
      <w:r>
        <w:rPr>
          <w:rFonts w:hint="eastAsia" w:ascii="宋体" w:hAnsi="宋体"/>
        </w:rPr>
        <w:t>1</w:t>
      </w:r>
      <w:r>
        <w:rPr>
          <w:rFonts w:ascii="宋体" w:hAnsi="宋体"/>
        </w:rPr>
        <w:t>.</w:t>
      </w:r>
      <w:r>
        <w:rPr>
          <w:rFonts w:hint="eastAsia" w:ascii="宋体" w:hAnsi="宋体"/>
        </w:rPr>
        <w:t xml:space="preserve">在相关范围内，销售量超过保本点后，增加一个单位销售量所增加的边际贡献，也就是该产品利润的增加额。                                     　 </w:t>
      </w:r>
      <w:r>
        <w:rPr>
          <w:rFonts w:ascii="宋体" w:hAnsi="宋体"/>
        </w:rPr>
        <w:t xml:space="preserve"> </w:t>
      </w:r>
      <w:r>
        <w:rPr>
          <w:rFonts w:hint="eastAsia" w:ascii="宋体" w:hAnsi="宋体"/>
        </w:rPr>
        <w:t xml:space="preserve"> </w:t>
      </w:r>
      <w:r>
        <w:rPr>
          <w:rFonts w:ascii="宋体" w:hAnsi="宋体"/>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w:t>
      </w:r>
    </w:p>
    <w:p>
      <w:pPr>
        <w:jc w:val="left"/>
        <w:rPr>
          <w:rFonts w:ascii="宋体" w:hAnsi="宋体"/>
        </w:rPr>
      </w:pPr>
      <w:r>
        <w:rPr>
          <w:rFonts w:hint="eastAsia" w:ascii="宋体" w:hAnsi="宋体"/>
        </w:rPr>
        <w:t xml:space="preserve">2.所谓的固定成本是指在相关范围内单位固定成本相对不变的成本。      </w:t>
      </w:r>
      <w:r>
        <w:rPr>
          <w:rFonts w:ascii="宋体" w:hAnsi="宋体"/>
        </w:rPr>
        <w:t xml:space="preserve">   </w:t>
      </w:r>
      <w:r>
        <w:rPr>
          <w:rFonts w:hint="eastAsia" w:ascii="宋体" w:hAnsi="宋体"/>
        </w:rPr>
        <w:t xml:space="preserve">  （    ）</w:t>
      </w:r>
    </w:p>
    <w:p>
      <w:pPr>
        <w:spacing w:line="280" w:lineRule="exact"/>
        <w:jc w:val="left"/>
        <w:rPr>
          <w:rFonts w:ascii="宋体" w:hAnsi="宋体"/>
        </w:rPr>
      </w:pPr>
      <w:r>
        <w:rPr>
          <w:rFonts w:hint="eastAsia" w:ascii="宋体" w:hAnsi="宋体"/>
        </w:rPr>
        <w:t>3.在确定两个方案的成本临界点业务量后，当需要量超过这一业务量时，应当选择固定成</w:t>
      </w:r>
      <w:r>
        <w:rPr>
          <w:rFonts w:hint="eastAsia" w:ascii="宋体" w:hAnsi="宋体"/>
          <w:kern w:val="10"/>
        </w:rPr>
        <w:t>本小的方案</w:t>
      </w:r>
      <w:r>
        <w:rPr>
          <w:rFonts w:hint="eastAsia" w:ascii="宋体" w:hAnsi="宋体"/>
        </w:rPr>
        <w:t xml:space="preserve"> 。  </w:t>
      </w:r>
      <w:r>
        <w:rPr>
          <w:rFonts w:ascii="宋体" w:hAnsi="宋体"/>
        </w:rPr>
        <w:t xml:space="preserve">    </w:t>
      </w:r>
      <w:r>
        <w:rPr>
          <w:rFonts w:hint="eastAsia" w:ascii="宋体" w:hAnsi="宋体"/>
        </w:rPr>
        <w:t xml:space="preserve">                                               </w:t>
      </w:r>
      <w:r>
        <w:rPr>
          <w:rFonts w:ascii="宋体" w:hAnsi="宋体"/>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                                                                           </w:t>
      </w:r>
    </w:p>
    <w:p>
      <w:pPr>
        <w:rPr>
          <w:rFonts w:hint="eastAsia" w:ascii="宋体" w:hAnsi="宋体"/>
        </w:rPr>
      </w:pPr>
      <w:r>
        <w:rPr>
          <w:rFonts w:hint="eastAsia" w:ascii="宋体" w:hAnsi="宋体"/>
        </w:rPr>
        <w:t>4.每年营业现金净流量等于税后净利加上折旧等摊销额，这意味着折旧是现金流入量。（    ）</w:t>
      </w:r>
    </w:p>
    <w:p>
      <w:r>
        <w:rPr>
          <w:rFonts w:hint="eastAsia" w:ascii="宋体" w:hAnsi="宋体"/>
          <w:lang w:val="en-US" w:eastAsia="zh-CN"/>
        </w:rPr>
        <w:t>5</w:t>
      </w:r>
      <w:r>
        <w:rPr>
          <w:rFonts w:hint="eastAsia" w:ascii="宋体" w:hAnsi="宋体"/>
        </w:rPr>
        <w:t>.普通年金的终值是指发生在每期期末的等额款项分别按照复利计算的终值之和。   （    ）</w:t>
      </w:r>
    </w:p>
    <w:p>
      <w:pPr>
        <w:ind w:right="-874" w:rightChars="-416"/>
        <w:rPr>
          <w:b/>
        </w:rPr>
      </w:pPr>
      <w:r>
        <w:rPr>
          <w:rFonts w:hint="eastAsia"/>
          <w:b/>
        </w:rPr>
        <w:t>三、名词解释</w:t>
      </w:r>
    </w:p>
    <w:p>
      <w:pPr>
        <w:autoSpaceDE w:val="0"/>
        <w:autoSpaceDN w:val="0"/>
        <w:adjustRightInd w:val="0"/>
        <w:spacing w:line="315" w:lineRule="atLeast"/>
        <w:jc w:val="left"/>
        <w:rPr>
          <w:rFonts w:ascii="宋体" w:hAnsi="宋体" w:cs="宋体"/>
          <w:szCs w:val="21"/>
        </w:rPr>
      </w:pPr>
      <w:r>
        <w:rPr>
          <w:rFonts w:hint="eastAsia" w:ascii="宋体" w:hAnsi="宋体" w:cs="宋体"/>
          <w:szCs w:val="21"/>
        </w:rPr>
        <w:t>1.成本性态</w:t>
      </w: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rFonts w:ascii="宋体" w:hAnsi="宋体" w:cs="宋体"/>
          <w:szCs w:val="21"/>
        </w:rPr>
      </w:pPr>
      <w:r>
        <w:rPr>
          <w:rFonts w:hint="eastAsia" w:ascii="宋体" w:hAnsi="宋体" w:cs="宋体"/>
          <w:szCs w:val="21"/>
        </w:rPr>
        <w:t>2.完全成本法</w:t>
      </w:r>
    </w:p>
    <w:p>
      <w:pPr>
        <w:autoSpaceDE w:val="0"/>
        <w:autoSpaceDN w:val="0"/>
        <w:adjustRightInd w:val="0"/>
        <w:spacing w:line="315" w:lineRule="atLeast"/>
        <w:jc w:val="left"/>
        <w:rPr>
          <w:rFonts w:ascii="宋体" w:hAnsi="宋体" w:cs="宋体"/>
          <w:szCs w:val="21"/>
        </w:rPr>
      </w:pPr>
    </w:p>
    <w:p>
      <w:pPr>
        <w:autoSpaceDE w:val="0"/>
        <w:autoSpaceDN w:val="0"/>
        <w:adjustRightInd w:val="0"/>
        <w:spacing w:line="315" w:lineRule="atLeast"/>
        <w:jc w:val="left"/>
        <w:rPr>
          <w:szCs w:val="21"/>
        </w:rPr>
      </w:pPr>
      <w:r>
        <w:rPr>
          <w:rFonts w:hint="eastAsia" w:ascii="宋体" w:hAnsi="宋体" w:cs="宋体"/>
          <w:szCs w:val="21"/>
        </w:rPr>
        <w:t>3.零基预算</w:t>
      </w:r>
    </w:p>
    <w:p>
      <w:pPr>
        <w:rPr>
          <w:szCs w:val="21"/>
        </w:rPr>
      </w:pPr>
    </w:p>
    <w:p>
      <w:pPr>
        <w:rPr>
          <w:szCs w:val="21"/>
        </w:rPr>
      </w:pPr>
      <w:r>
        <w:rPr>
          <w:rFonts w:hint="eastAsia" w:asciiTheme="minorEastAsia" w:hAnsiTheme="minorEastAsia" w:eastAsiaTheme="minorEastAsia"/>
          <w:szCs w:val="21"/>
        </w:rPr>
        <w:t>4.</w:t>
      </w:r>
      <w:r>
        <w:rPr>
          <w:rFonts w:hint="eastAsia"/>
          <w:szCs w:val="21"/>
        </w:rPr>
        <w:t xml:space="preserve"> 投资回收期</w:t>
      </w:r>
    </w:p>
    <w:p>
      <w:pPr>
        <w:rPr>
          <w:szCs w:val="21"/>
        </w:rPr>
      </w:pPr>
    </w:p>
    <w:p>
      <w:pPr>
        <w:spacing w:line="320" w:lineRule="exact"/>
        <w:outlineLvl w:val="0"/>
        <w:rPr>
          <w:rFonts w:ascii="宋体" w:hAnsi="宋体"/>
          <w:b/>
          <w:color w:val="000000"/>
          <w:szCs w:val="21"/>
        </w:rPr>
      </w:pPr>
      <w:r>
        <w:rPr>
          <w:rFonts w:hint="eastAsia" w:ascii="宋体" w:hAnsi="宋体"/>
          <w:b/>
          <w:color w:val="000000"/>
          <w:szCs w:val="21"/>
        </w:rPr>
        <w:t>四、问答题</w:t>
      </w:r>
    </w:p>
    <w:p>
      <w:pPr>
        <w:spacing w:line="320" w:lineRule="exact"/>
        <w:rPr>
          <w:rFonts w:ascii="宋体" w:hAnsi="宋体" w:cs="宋体"/>
          <w:szCs w:val="21"/>
        </w:rPr>
      </w:pPr>
      <w:r>
        <w:rPr>
          <w:rFonts w:ascii="宋体" w:hAnsi="宋体" w:cs="宋体"/>
          <w:szCs w:val="21"/>
        </w:rPr>
        <w:t>1</w:t>
      </w:r>
      <w:r>
        <w:rPr>
          <w:rFonts w:hint="eastAsia" w:ascii="宋体" w:hAnsi="宋体" w:cs="宋体"/>
          <w:szCs w:val="21"/>
        </w:rPr>
        <w:t>、</w:t>
      </w:r>
      <w:r>
        <w:rPr>
          <w:rFonts w:hint="eastAsia" w:ascii="宋体" w:hAnsi="宋体"/>
          <w:szCs w:val="21"/>
        </w:rPr>
        <w:t>简述多品种盈亏临界点确定的基本步骤。</w:t>
      </w:r>
    </w:p>
    <w:p>
      <w:pPr>
        <w:spacing w:line="320" w:lineRule="exact"/>
        <w:rPr>
          <w:rFonts w:ascii="宋体" w:hAnsi="宋体" w:cs="宋体"/>
          <w:szCs w:val="21"/>
        </w:rPr>
      </w:pPr>
      <w:r>
        <w:rPr>
          <w:rFonts w:hint="eastAsia" w:ascii="宋体" w:hAnsi="宋体" w:cs="宋体"/>
          <w:szCs w:val="21"/>
        </w:rPr>
        <w:t>2、</w:t>
      </w:r>
      <w:r>
        <w:rPr>
          <w:rFonts w:hint="eastAsia" w:ascii="宋体" w:hAnsi="宋体"/>
          <w:bCs/>
          <w:color w:val="000000" w:themeColor="text1"/>
          <w:szCs w:val="21"/>
        </w:rPr>
        <w:t>简述管理会计的基本特点。</w:t>
      </w:r>
    </w:p>
    <w:p>
      <w:pPr>
        <w:rPr>
          <w:rFonts w:asciiTheme="minorEastAsia" w:hAnsiTheme="minorEastAsia" w:eastAsiaTheme="minorEastAsia"/>
          <w:szCs w:val="21"/>
        </w:rPr>
      </w:pPr>
    </w:p>
    <w:p>
      <w:pPr>
        <w:rPr>
          <w:rFonts w:asciiTheme="minorEastAsia" w:hAnsiTheme="minorEastAsia" w:eastAsiaTheme="minorEastAsia"/>
          <w:szCs w:val="21"/>
        </w:rPr>
      </w:pPr>
    </w:p>
    <w:p>
      <w:pPr>
        <w:spacing w:line="320" w:lineRule="exact"/>
        <w:outlineLvl w:val="0"/>
        <w:rPr>
          <w:rFonts w:ascii="宋体" w:hAnsi="宋体"/>
          <w:b/>
          <w:color w:val="000000"/>
          <w:szCs w:val="21"/>
        </w:rPr>
      </w:pPr>
      <w:r>
        <w:rPr>
          <w:rFonts w:hint="eastAsia" w:ascii="宋体" w:hAnsi="宋体"/>
          <w:b/>
          <w:color w:val="000000"/>
          <w:szCs w:val="21"/>
        </w:rPr>
        <w:t>五、计算分析题</w:t>
      </w:r>
    </w:p>
    <w:p>
      <w:pPr>
        <w:spacing w:line="340" w:lineRule="atLeast"/>
        <w:ind w:left="210" w:hanging="210" w:hangingChars="100"/>
        <w:rPr>
          <w:rFonts w:hint="eastAsia"/>
        </w:rPr>
      </w:pPr>
      <w:r>
        <w:rPr>
          <w:rFonts w:hint="eastAsia"/>
        </w:rPr>
        <w:t>1. A公司生产甲机器，2020年5月共生产了200台，实际耗用100，000工时，平均每台甲机器耗用500工时，实际发生变动性制造费用40，000元，平均每工时0.40元。如果该公司变动性制造费用的标准分配率为0.36元／工时，单位甲机器耗用标准工时为600小时。要求：（1）计算变动性制造费用的效率差异。</w:t>
      </w:r>
    </w:p>
    <w:p>
      <w:pPr>
        <w:spacing w:line="340" w:lineRule="atLeast"/>
        <w:ind w:left="210" w:leftChars="100" w:firstLine="840" w:firstLineChars="400"/>
        <w:rPr>
          <w:rFonts w:asciiTheme="minorEastAsia" w:hAnsiTheme="minorEastAsia" w:eastAsiaTheme="minorEastAsia"/>
          <w:szCs w:val="21"/>
        </w:rPr>
      </w:pPr>
      <w:r>
        <w:rPr>
          <w:rFonts w:hint="eastAsia"/>
        </w:rPr>
        <w:t>（2）计算变动性制造费用的耗费差异。</w:t>
      </w: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ind w:left="420"/>
        <w:rPr>
          <w:rFonts w:hint="eastAsia"/>
        </w:rPr>
      </w:pPr>
      <w:r>
        <w:rPr>
          <w:rFonts w:hint="eastAsia"/>
        </w:rPr>
        <w:t>2</w:t>
      </w:r>
      <w:r>
        <w:t>.</w:t>
      </w:r>
      <w:r>
        <w:rPr>
          <w:rFonts w:hint="eastAsia"/>
        </w:rPr>
        <w:t xml:space="preserve"> 资料：设某厂目前生产A、B、C三种产品，有关资料如下（单位：元）</w:t>
      </w:r>
    </w:p>
    <w:p>
      <w:pPr>
        <w:ind w:left="420"/>
        <w:rPr>
          <w:rFonts w:hint="eastAsia"/>
        </w:rPr>
      </w:pPr>
      <w:r>
        <w:rPr>
          <w:rFonts w:hint="eastAsia"/>
        </w:rPr>
        <w:t>　         产品A    产品B    产品C   　合计</w:t>
      </w:r>
    </w:p>
    <w:p>
      <w:pPr>
        <w:ind w:left="420"/>
        <w:rPr>
          <w:rFonts w:hint="eastAsia"/>
        </w:rPr>
      </w:pPr>
      <w:r>
        <w:rPr>
          <w:rFonts w:hint="eastAsia"/>
        </w:rPr>
        <w:t>销售收入：600，000  450，000  150，000  1200，000</w:t>
      </w:r>
    </w:p>
    <w:p>
      <w:pPr>
        <w:ind w:left="420"/>
        <w:rPr>
          <w:rFonts w:hint="eastAsia"/>
        </w:rPr>
      </w:pPr>
      <w:r>
        <w:rPr>
          <w:rFonts w:hint="eastAsia"/>
        </w:rPr>
        <w:t>销售成本：</w:t>
      </w:r>
    </w:p>
    <w:p>
      <w:pPr>
        <w:ind w:left="420"/>
        <w:rPr>
          <w:rFonts w:hint="eastAsia"/>
        </w:rPr>
      </w:pPr>
      <w:r>
        <w:rPr>
          <w:rFonts w:hint="eastAsia"/>
        </w:rPr>
        <w:t>变动成本：360，000  270，000  105，000  735，000</w:t>
      </w:r>
    </w:p>
    <w:p>
      <w:pPr>
        <w:ind w:left="420"/>
        <w:rPr>
          <w:rFonts w:hint="eastAsia"/>
        </w:rPr>
      </w:pPr>
      <w:r>
        <w:rPr>
          <w:rFonts w:hint="eastAsia"/>
        </w:rPr>
        <w:t>固定成本：120，000  90，000   30，000   240，000</w:t>
      </w:r>
    </w:p>
    <w:p>
      <w:pPr>
        <w:ind w:left="420"/>
        <w:rPr>
          <w:rFonts w:hint="eastAsia"/>
        </w:rPr>
      </w:pPr>
      <w:r>
        <w:rPr>
          <w:rFonts w:hint="eastAsia"/>
        </w:rPr>
        <w:t xml:space="preserve">          480，000  360，000  135，000  975，000</w:t>
      </w:r>
    </w:p>
    <w:p>
      <w:pPr>
        <w:ind w:left="420"/>
        <w:rPr>
          <w:rFonts w:hint="eastAsia"/>
        </w:rPr>
      </w:pPr>
      <w:r>
        <w:rPr>
          <w:rFonts w:hint="eastAsia"/>
        </w:rPr>
        <w:t>毛　　利：120，000  90，000   15，000   225，000</w:t>
      </w:r>
    </w:p>
    <w:p>
      <w:pPr>
        <w:ind w:left="420"/>
        <w:rPr>
          <w:rFonts w:hint="eastAsia"/>
        </w:rPr>
      </w:pPr>
      <w:r>
        <w:rPr>
          <w:rFonts w:hint="eastAsia"/>
        </w:rPr>
        <w:t>销售费用：</w:t>
      </w:r>
    </w:p>
    <w:p>
      <w:pPr>
        <w:ind w:left="420"/>
        <w:rPr>
          <w:rFonts w:hint="eastAsia"/>
        </w:rPr>
      </w:pPr>
      <w:r>
        <w:rPr>
          <w:rFonts w:hint="eastAsia"/>
        </w:rPr>
        <w:t>变动费用：40，000  30，000   15，000   85，000</w:t>
      </w:r>
    </w:p>
    <w:p>
      <w:pPr>
        <w:ind w:left="420"/>
        <w:rPr>
          <w:rFonts w:hint="eastAsia"/>
        </w:rPr>
      </w:pPr>
      <w:r>
        <w:rPr>
          <w:rFonts w:hint="eastAsia"/>
        </w:rPr>
        <w:t>固定费用：30，000  22，500   7，5000   60，000</w:t>
      </w:r>
    </w:p>
    <w:p>
      <w:pPr>
        <w:ind w:left="420"/>
        <w:rPr>
          <w:rFonts w:hint="eastAsia"/>
        </w:rPr>
      </w:pPr>
      <w:r>
        <w:rPr>
          <w:rFonts w:hint="eastAsia"/>
        </w:rPr>
        <w:t xml:space="preserve">          70，000  52，500   22，500   145，000</w:t>
      </w:r>
    </w:p>
    <w:p>
      <w:pPr>
        <w:ind w:left="420"/>
        <w:rPr>
          <w:rFonts w:hint="eastAsia"/>
        </w:rPr>
      </w:pPr>
      <w:r>
        <w:rPr>
          <w:rFonts w:hint="eastAsia"/>
        </w:rPr>
        <w:t>净收益：  50，000   37，500   （7500）  80，000</w:t>
      </w:r>
    </w:p>
    <w:p>
      <w:pPr>
        <w:ind w:left="420"/>
        <w:rPr>
          <w:rFonts w:asciiTheme="minorEastAsia" w:hAnsiTheme="minorEastAsia" w:eastAsiaTheme="minorEastAsia"/>
          <w:szCs w:val="21"/>
        </w:rPr>
      </w:pPr>
      <w:r>
        <w:rPr>
          <w:rFonts w:hint="eastAsia"/>
        </w:rPr>
        <w:t>要求：请据以确定产品C应否停产？</w:t>
      </w:r>
    </w:p>
    <w:p>
      <w:pPr>
        <w:spacing w:line="400" w:lineRule="exact"/>
        <w:rPr>
          <w:rFonts w:asciiTheme="minorEastAsia" w:hAnsiTheme="minorEastAsia" w:eastAsiaTheme="minorEastAsia"/>
          <w:szCs w:val="21"/>
        </w:rPr>
      </w:pPr>
    </w:p>
    <w:p>
      <w:pPr>
        <w:spacing w:line="400" w:lineRule="exact"/>
        <w:rPr>
          <w:rFonts w:asciiTheme="minorEastAsia" w:hAnsiTheme="minorEastAsia" w:eastAsiaTheme="minorEastAsia"/>
          <w:szCs w:val="21"/>
        </w:rPr>
      </w:pPr>
    </w:p>
    <w:p>
      <w:pPr>
        <w:spacing w:line="360" w:lineRule="auto"/>
        <w:rPr>
          <w:rFonts w:hint="eastAsia"/>
          <w:sz w:val="24"/>
        </w:rPr>
      </w:pPr>
    </w:p>
    <w:p>
      <w:pPr>
        <w:spacing w:line="360" w:lineRule="auto"/>
        <w:ind w:firstLine="240" w:firstLineChars="100"/>
        <w:rPr>
          <w:rFonts w:hint="eastAsia"/>
        </w:rPr>
      </w:pPr>
      <w:r>
        <w:rPr>
          <w:rFonts w:hint="eastAsia"/>
          <w:sz w:val="24"/>
        </w:rPr>
        <w:t>3</w:t>
      </w:r>
      <w:r>
        <w:rPr>
          <w:sz w:val="24"/>
        </w:rPr>
        <w:t>.</w:t>
      </w:r>
      <w:r>
        <w:rPr>
          <w:rFonts w:hint="eastAsia"/>
        </w:rPr>
        <w:t xml:space="preserve"> 某项目初始投资额为2000万元，无建设期。投产后，第1年至第6年的年末营业现金净流量分别为300、360、400、700、1200、1800万元，假设贴现率为10%。</w:t>
      </w:r>
    </w:p>
    <w:p>
      <w:pPr>
        <w:spacing w:line="360" w:lineRule="auto"/>
        <w:ind w:firstLine="420" w:firstLineChars="200"/>
        <w:rPr>
          <w:rFonts w:hint="eastAsia"/>
        </w:rPr>
      </w:pPr>
      <w:r>
        <w:rPr>
          <w:rFonts w:hint="eastAsia"/>
        </w:rPr>
        <w:t xml:space="preserve">要求：计算该投资项目的净现值、现值指数和投资回收期，并判断其可行性。   </w:t>
      </w:r>
    </w:p>
    <w:p>
      <w:pPr>
        <w:spacing w:line="360" w:lineRule="auto"/>
        <w:rPr>
          <w:sz w:val="24"/>
        </w:rPr>
      </w:pPr>
      <w:r>
        <w:rPr>
          <w:rFonts w:hint="eastAsia"/>
        </w:rPr>
        <w:t>（附：i</w:t>
      </w:r>
      <w:r>
        <w:t>=10%,n=</w:t>
      </w:r>
      <w:r>
        <w:rPr>
          <w:rFonts w:hint="eastAsia"/>
        </w:rPr>
        <w:t>1、2、3、4、5、6的复利现值系数分别为0.909、0.826、0.751、0.683、0.621、0.564）</w:t>
      </w:r>
      <w:r>
        <w:rPr>
          <w:rFonts w:hint="eastAsia" w:ascii="宋体" w:hAnsi="宋体"/>
          <w:szCs w:val="21"/>
        </w:rPr>
        <w:t xml:space="preserve"> </w:t>
      </w:r>
      <w:r>
        <w:rPr>
          <w:rFonts w:hint="eastAsia"/>
          <w:b/>
        </w:rPr>
        <w:t>（</w:t>
      </w:r>
      <w:r>
        <w:rPr>
          <w:rFonts w:hint="eastAsia"/>
          <w:b/>
          <w:bCs/>
        </w:rPr>
        <w:t>列出计算分析过程，小数点后保留两位。</w:t>
      </w:r>
      <w:r>
        <w:rPr>
          <w:rFonts w:hint="eastAsia"/>
          <w:b/>
        </w:rPr>
        <w:t xml:space="preserve">）        </w:t>
      </w:r>
    </w:p>
    <w:p>
      <w:pPr>
        <w:tabs>
          <w:tab w:val="decimal" w:pos="0"/>
        </w:tabs>
        <w:jc w:val="center"/>
        <w:rPr>
          <w:rFonts w:hint="eastAsia"/>
          <w:b/>
          <w:sz w:val="24"/>
        </w:rPr>
      </w:pPr>
    </w:p>
    <w:p>
      <w:pPr>
        <w:tabs>
          <w:tab w:val="decimal" w:pos="0"/>
        </w:tabs>
        <w:jc w:val="both"/>
        <w:rPr>
          <w:rFonts w:hint="eastAsia"/>
          <w:b/>
          <w:sz w:val="24"/>
          <w:lang w:val="en-US" w:eastAsia="zh-CN"/>
        </w:rPr>
      </w:pPr>
    </w:p>
    <w:p>
      <w:pPr>
        <w:tabs>
          <w:tab w:val="decimal" w:pos="0"/>
        </w:tabs>
        <w:jc w:val="both"/>
        <w:rPr>
          <w:rFonts w:hint="default" w:eastAsia="宋体"/>
          <w:b/>
          <w:sz w:val="24"/>
          <w:lang w:val="en-US" w:eastAsia="zh-CN"/>
        </w:rPr>
      </w:pPr>
      <w:r>
        <w:rPr>
          <w:rFonts w:hint="eastAsia"/>
          <w:b/>
          <w:sz w:val="24"/>
          <w:lang w:val="en-US" w:eastAsia="zh-CN"/>
        </w:rPr>
        <w:t>复习资料参考答案</w:t>
      </w:r>
    </w:p>
    <w:p>
      <w:pPr>
        <w:tabs>
          <w:tab w:val="decimal" w:pos="0"/>
        </w:tabs>
        <w:jc w:val="center"/>
        <w:rPr>
          <w:rFonts w:hint="eastAsia"/>
          <w:b/>
          <w:sz w:val="24"/>
        </w:rPr>
      </w:pPr>
    </w:p>
    <w:p>
      <w:pPr>
        <w:tabs>
          <w:tab w:val="decimal" w:pos="0"/>
        </w:tabs>
        <w:jc w:val="center"/>
        <w:rPr>
          <w:rFonts w:ascii="宋体" w:hAnsi="宋体"/>
          <w:b/>
          <w:sz w:val="24"/>
        </w:rPr>
      </w:pPr>
      <w:r>
        <w:rPr>
          <w:rFonts w:hint="eastAsia"/>
          <w:b/>
          <w:sz w:val="24"/>
        </w:rPr>
        <w:t xml:space="preserve">    </w:t>
      </w:r>
    </w:p>
    <w:p>
      <w:pPr>
        <w:pStyle w:val="3"/>
        <w:tabs>
          <w:tab w:val="left" w:pos="840"/>
        </w:tabs>
        <w:spacing w:before="0" w:beforeAutospacing="0" w:after="0" w:afterAutospacing="0"/>
        <w:rPr>
          <w:b/>
          <w:bCs/>
          <w:sz w:val="21"/>
          <w:szCs w:val="21"/>
        </w:rPr>
      </w:pPr>
      <w:r>
        <w:rPr>
          <w:rFonts w:hint="eastAsia"/>
          <w:b/>
          <w:sz w:val="21"/>
          <w:szCs w:val="21"/>
        </w:rPr>
        <w:t>一、单项选择题</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1</w:t>
            </w:r>
          </w:p>
        </w:tc>
        <w:tc>
          <w:tcPr>
            <w:tcW w:w="800" w:type="dxa"/>
            <w:vAlign w:val="center"/>
          </w:tcPr>
          <w:p>
            <w:pPr>
              <w:jc w:val="center"/>
              <w:rPr>
                <w:rFonts w:ascii="宋体" w:hAnsi="宋体"/>
                <w:sz w:val="24"/>
              </w:rPr>
            </w:pPr>
            <w:r>
              <w:rPr>
                <w:rFonts w:hint="eastAsia" w:ascii="宋体" w:hAnsi="宋体"/>
                <w:sz w:val="24"/>
              </w:rPr>
              <w:t>2</w:t>
            </w:r>
          </w:p>
        </w:tc>
        <w:tc>
          <w:tcPr>
            <w:tcW w:w="801" w:type="dxa"/>
            <w:vAlign w:val="center"/>
          </w:tcPr>
          <w:p>
            <w:pPr>
              <w:jc w:val="center"/>
              <w:rPr>
                <w:rFonts w:ascii="宋体" w:hAnsi="宋体"/>
                <w:sz w:val="24"/>
              </w:rPr>
            </w:pPr>
            <w:r>
              <w:rPr>
                <w:rFonts w:hint="eastAsia" w:ascii="宋体" w:hAnsi="宋体"/>
                <w:sz w:val="24"/>
              </w:rPr>
              <w:t>3</w:t>
            </w:r>
          </w:p>
        </w:tc>
        <w:tc>
          <w:tcPr>
            <w:tcW w:w="801" w:type="dxa"/>
            <w:vAlign w:val="center"/>
          </w:tcPr>
          <w:p>
            <w:pPr>
              <w:jc w:val="center"/>
              <w:rPr>
                <w:rFonts w:ascii="宋体" w:hAnsi="宋体"/>
                <w:sz w:val="24"/>
              </w:rPr>
            </w:pPr>
            <w:r>
              <w:rPr>
                <w:rFonts w:hint="eastAsia" w:ascii="宋体" w:hAnsi="宋体"/>
                <w:sz w:val="24"/>
              </w:rPr>
              <w:t>4</w:t>
            </w:r>
          </w:p>
        </w:tc>
        <w:tc>
          <w:tcPr>
            <w:tcW w:w="801" w:type="dxa"/>
            <w:vAlign w:val="center"/>
          </w:tcPr>
          <w:p>
            <w:pPr>
              <w:jc w:val="center"/>
              <w:rPr>
                <w:rFonts w:ascii="宋体" w:hAnsi="宋体"/>
                <w:sz w:val="24"/>
              </w:rPr>
            </w:pPr>
            <w:r>
              <w:rPr>
                <w:rFonts w:hint="eastAsia" w:ascii="宋体" w:hAnsi="宋体"/>
                <w:sz w:val="24"/>
              </w:rPr>
              <w:t>5</w:t>
            </w:r>
          </w:p>
        </w:tc>
        <w:tc>
          <w:tcPr>
            <w:tcW w:w="800" w:type="dxa"/>
            <w:vAlign w:val="center"/>
          </w:tcPr>
          <w:p>
            <w:pPr>
              <w:jc w:val="center"/>
              <w:rPr>
                <w:rFonts w:ascii="宋体" w:hAnsi="宋体"/>
                <w:sz w:val="24"/>
              </w:rPr>
            </w:pPr>
            <w:r>
              <w:rPr>
                <w:rFonts w:hint="eastAsia" w:ascii="宋体" w:hAnsi="宋体"/>
                <w:sz w:val="24"/>
              </w:rPr>
              <w:t>6</w:t>
            </w:r>
          </w:p>
        </w:tc>
        <w:tc>
          <w:tcPr>
            <w:tcW w:w="800" w:type="dxa"/>
            <w:vAlign w:val="center"/>
          </w:tcPr>
          <w:p>
            <w:pPr>
              <w:jc w:val="center"/>
              <w:rPr>
                <w:rFonts w:ascii="宋体" w:hAnsi="宋体"/>
                <w:sz w:val="24"/>
              </w:rPr>
            </w:pPr>
            <w:r>
              <w:rPr>
                <w:rFonts w:hint="eastAsia" w:ascii="宋体" w:hAnsi="宋体"/>
                <w:sz w:val="24"/>
              </w:rPr>
              <w:t>7</w:t>
            </w:r>
          </w:p>
        </w:tc>
        <w:tc>
          <w:tcPr>
            <w:tcW w:w="800" w:type="dxa"/>
            <w:vAlign w:val="center"/>
          </w:tcPr>
          <w:p>
            <w:pPr>
              <w:jc w:val="center"/>
              <w:rPr>
                <w:rFonts w:ascii="宋体" w:hAnsi="宋体"/>
                <w:sz w:val="24"/>
              </w:rPr>
            </w:pPr>
            <w:r>
              <w:rPr>
                <w:rFonts w:hint="eastAsia" w:ascii="宋体" w:hAnsi="宋体"/>
                <w:sz w:val="24"/>
              </w:rPr>
              <w:t>8</w:t>
            </w:r>
          </w:p>
        </w:tc>
        <w:tc>
          <w:tcPr>
            <w:tcW w:w="800" w:type="dxa"/>
            <w:vAlign w:val="center"/>
          </w:tcPr>
          <w:p>
            <w:pPr>
              <w:jc w:val="center"/>
              <w:rPr>
                <w:rFonts w:ascii="宋体" w:hAnsi="宋体"/>
                <w:sz w:val="24"/>
              </w:rPr>
            </w:pPr>
            <w:r>
              <w:rPr>
                <w:rFonts w:hint="eastAsia" w:ascii="宋体" w:hAnsi="宋体"/>
                <w:sz w:val="24"/>
              </w:rPr>
              <w:t>9</w:t>
            </w:r>
          </w:p>
        </w:tc>
        <w:tc>
          <w:tcPr>
            <w:tcW w:w="800" w:type="dxa"/>
            <w:vAlign w:val="center"/>
          </w:tcPr>
          <w:p>
            <w:pPr>
              <w:jc w:val="center"/>
              <w:rPr>
                <w:rFonts w:ascii="宋体" w:hAnsi="宋体"/>
                <w:sz w:val="24"/>
              </w:rPr>
            </w:pPr>
            <w:r>
              <w:rPr>
                <w:rFonts w:hint="eastAsia"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A</w:t>
            </w:r>
          </w:p>
        </w:tc>
        <w:tc>
          <w:tcPr>
            <w:tcW w:w="800" w:type="dxa"/>
            <w:vAlign w:val="center"/>
          </w:tcPr>
          <w:p>
            <w:pPr>
              <w:jc w:val="center"/>
              <w:rPr>
                <w:rFonts w:ascii="宋体" w:hAnsi="宋体"/>
                <w:sz w:val="24"/>
              </w:rPr>
            </w:pPr>
            <w:r>
              <w:rPr>
                <w:rFonts w:ascii="宋体" w:hAnsi="宋体"/>
                <w:sz w:val="24"/>
              </w:rPr>
              <w:t>D</w:t>
            </w:r>
          </w:p>
        </w:tc>
        <w:tc>
          <w:tcPr>
            <w:tcW w:w="801" w:type="dxa"/>
            <w:vAlign w:val="center"/>
          </w:tcPr>
          <w:p>
            <w:pPr>
              <w:jc w:val="center"/>
              <w:rPr>
                <w:rFonts w:ascii="宋体" w:hAnsi="宋体"/>
                <w:sz w:val="24"/>
              </w:rPr>
            </w:pPr>
            <w:r>
              <w:rPr>
                <w:rFonts w:ascii="宋体" w:hAnsi="宋体"/>
                <w:sz w:val="24"/>
              </w:rPr>
              <w:t>B</w:t>
            </w:r>
          </w:p>
        </w:tc>
        <w:tc>
          <w:tcPr>
            <w:tcW w:w="801" w:type="dxa"/>
            <w:vAlign w:val="center"/>
          </w:tcPr>
          <w:p>
            <w:pPr>
              <w:jc w:val="center"/>
              <w:rPr>
                <w:rFonts w:ascii="宋体" w:hAnsi="宋体"/>
                <w:sz w:val="24"/>
              </w:rPr>
            </w:pPr>
            <w:r>
              <w:rPr>
                <w:rFonts w:ascii="宋体" w:hAnsi="宋体"/>
                <w:sz w:val="24"/>
              </w:rPr>
              <w:t>B</w:t>
            </w:r>
          </w:p>
        </w:tc>
        <w:tc>
          <w:tcPr>
            <w:tcW w:w="801" w:type="dxa"/>
            <w:vAlign w:val="center"/>
          </w:tcPr>
          <w:p>
            <w:pPr>
              <w:jc w:val="center"/>
              <w:rPr>
                <w:rFonts w:ascii="宋体" w:hAnsi="宋体"/>
                <w:sz w:val="24"/>
              </w:rPr>
            </w:pPr>
            <w:r>
              <w:rPr>
                <w:rFonts w:ascii="宋体" w:hAnsi="宋体"/>
                <w:sz w:val="24"/>
              </w:rPr>
              <w:t>D</w:t>
            </w:r>
          </w:p>
        </w:tc>
        <w:tc>
          <w:tcPr>
            <w:tcW w:w="800" w:type="dxa"/>
            <w:vAlign w:val="center"/>
          </w:tcPr>
          <w:p>
            <w:pPr>
              <w:jc w:val="center"/>
              <w:rPr>
                <w:rFonts w:ascii="宋体" w:hAnsi="宋体"/>
                <w:sz w:val="24"/>
              </w:rPr>
            </w:pPr>
            <w:r>
              <w:rPr>
                <w:rFonts w:ascii="宋体" w:hAnsi="宋体"/>
                <w:sz w:val="24"/>
              </w:rPr>
              <w:t>A</w:t>
            </w:r>
          </w:p>
        </w:tc>
        <w:tc>
          <w:tcPr>
            <w:tcW w:w="800" w:type="dxa"/>
            <w:vAlign w:val="center"/>
          </w:tcPr>
          <w:p>
            <w:pPr>
              <w:jc w:val="center"/>
              <w:rPr>
                <w:rFonts w:ascii="宋体" w:hAnsi="宋体"/>
                <w:sz w:val="24"/>
              </w:rPr>
            </w:pPr>
            <w:r>
              <w:rPr>
                <w:rFonts w:ascii="宋体" w:hAnsi="宋体"/>
                <w:sz w:val="24"/>
              </w:rPr>
              <w:t>C</w:t>
            </w:r>
          </w:p>
        </w:tc>
        <w:tc>
          <w:tcPr>
            <w:tcW w:w="800" w:type="dxa"/>
            <w:vAlign w:val="center"/>
          </w:tcPr>
          <w:p>
            <w:pPr>
              <w:jc w:val="center"/>
              <w:rPr>
                <w:rFonts w:ascii="宋体" w:hAnsi="宋体"/>
                <w:sz w:val="24"/>
              </w:rPr>
            </w:pPr>
            <w:r>
              <w:rPr>
                <w:rFonts w:ascii="宋体" w:hAnsi="宋体"/>
                <w:sz w:val="24"/>
              </w:rPr>
              <w:t>C</w:t>
            </w:r>
          </w:p>
        </w:tc>
        <w:tc>
          <w:tcPr>
            <w:tcW w:w="800" w:type="dxa"/>
            <w:vAlign w:val="center"/>
          </w:tcPr>
          <w:p>
            <w:pPr>
              <w:jc w:val="center"/>
              <w:rPr>
                <w:rFonts w:ascii="宋体" w:hAnsi="宋体"/>
                <w:sz w:val="24"/>
              </w:rPr>
            </w:pPr>
            <w:r>
              <w:rPr>
                <w:rFonts w:ascii="宋体" w:hAnsi="宋体"/>
                <w:sz w:val="24"/>
              </w:rPr>
              <w:t>B</w:t>
            </w:r>
          </w:p>
        </w:tc>
        <w:tc>
          <w:tcPr>
            <w:tcW w:w="800" w:type="dxa"/>
            <w:vAlign w:val="center"/>
          </w:tcPr>
          <w:p>
            <w:pPr>
              <w:jc w:val="center"/>
              <w:rPr>
                <w:rFonts w:ascii="宋体" w:hAnsi="宋体"/>
                <w:sz w:val="24"/>
              </w:rPr>
            </w:pPr>
            <w:r>
              <w:rPr>
                <w:rFonts w:ascii="宋体" w:hAnsi="宋体"/>
                <w:sz w:val="24"/>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1</w:t>
            </w:r>
            <w:r>
              <w:rPr>
                <w:rFonts w:ascii="宋体" w:hAnsi="宋体"/>
                <w:sz w:val="24"/>
              </w:rPr>
              <w:t>1</w:t>
            </w:r>
          </w:p>
        </w:tc>
        <w:tc>
          <w:tcPr>
            <w:tcW w:w="800" w:type="dxa"/>
            <w:vAlign w:val="center"/>
          </w:tcPr>
          <w:p>
            <w:pPr>
              <w:jc w:val="center"/>
              <w:rPr>
                <w:rFonts w:ascii="宋体" w:hAnsi="宋体"/>
                <w:sz w:val="24"/>
              </w:rPr>
            </w:pPr>
            <w:r>
              <w:rPr>
                <w:rFonts w:hint="eastAsia" w:ascii="宋体" w:hAnsi="宋体"/>
                <w:sz w:val="24"/>
              </w:rPr>
              <w:t>1</w:t>
            </w:r>
            <w:r>
              <w:rPr>
                <w:rFonts w:ascii="宋体" w:hAnsi="宋体"/>
                <w:sz w:val="24"/>
              </w:rPr>
              <w:t>2</w:t>
            </w:r>
          </w:p>
        </w:tc>
        <w:tc>
          <w:tcPr>
            <w:tcW w:w="801" w:type="dxa"/>
            <w:vAlign w:val="center"/>
          </w:tcPr>
          <w:p>
            <w:pPr>
              <w:jc w:val="center"/>
              <w:rPr>
                <w:rFonts w:ascii="宋体" w:hAnsi="宋体"/>
                <w:sz w:val="24"/>
              </w:rPr>
            </w:pPr>
            <w:r>
              <w:rPr>
                <w:rFonts w:hint="eastAsia" w:ascii="宋体" w:hAnsi="宋体"/>
                <w:sz w:val="24"/>
              </w:rPr>
              <w:t>1</w:t>
            </w:r>
            <w:r>
              <w:rPr>
                <w:rFonts w:ascii="宋体" w:hAnsi="宋体"/>
                <w:sz w:val="24"/>
              </w:rPr>
              <w:t>3</w:t>
            </w:r>
          </w:p>
        </w:tc>
        <w:tc>
          <w:tcPr>
            <w:tcW w:w="801" w:type="dxa"/>
            <w:vAlign w:val="center"/>
          </w:tcPr>
          <w:p>
            <w:pPr>
              <w:jc w:val="center"/>
              <w:rPr>
                <w:rFonts w:ascii="宋体" w:hAnsi="宋体"/>
                <w:sz w:val="24"/>
              </w:rPr>
            </w:pPr>
            <w:r>
              <w:rPr>
                <w:rFonts w:hint="eastAsia" w:ascii="宋体" w:hAnsi="宋体"/>
                <w:sz w:val="24"/>
              </w:rPr>
              <w:t>1</w:t>
            </w:r>
            <w:r>
              <w:rPr>
                <w:rFonts w:ascii="宋体" w:hAnsi="宋体"/>
                <w:sz w:val="24"/>
              </w:rPr>
              <w:t>4</w:t>
            </w:r>
          </w:p>
        </w:tc>
        <w:tc>
          <w:tcPr>
            <w:tcW w:w="801" w:type="dxa"/>
            <w:vAlign w:val="center"/>
          </w:tcPr>
          <w:p>
            <w:pPr>
              <w:jc w:val="center"/>
              <w:rPr>
                <w:rFonts w:ascii="宋体" w:hAnsi="宋体"/>
                <w:sz w:val="24"/>
              </w:rPr>
            </w:pPr>
            <w:r>
              <w:rPr>
                <w:rFonts w:hint="eastAsia" w:ascii="宋体" w:hAnsi="宋体"/>
                <w:sz w:val="24"/>
              </w:rPr>
              <w:t>1</w:t>
            </w:r>
            <w:r>
              <w:rPr>
                <w:rFonts w:ascii="宋体" w:hAnsi="宋体"/>
                <w:sz w:val="24"/>
              </w:rPr>
              <w:t>5</w:t>
            </w: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1" w:type="dxa"/>
            <w:vAlign w:val="center"/>
          </w:tcPr>
          <w:p>
            <w:pPr>
              <w:jc w:val="center"/>
              <w:rPr>
                <w:rFonts w:ascii="宋体" w:hAnsi="宋体"/>
                <w:sz w:val="24"/>
              </w:rPr>
            </w:pPr>
          </w:p>
        </w:tc>
        <w:tc>
          <w:tcPr>
            <w:tcW w:w="801" w:type="dxa"/>
            <w:vAlign w:val="center"/>
          </w:tcPr>
          <w:p>
            <w:pPr>
              <w:jc w:val="center"/>
              <w:rPr>
                <w:rFonts w:ascii="宋体" w:hAnsi="宋体"/>
                <w:sz w:val="24"/>
              </w:rPr>
            </w:pPr>
          </w:p>
        </w:tc>
        <w:tc>
          <w:tcPr>
            <w:tcW w:w="801"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c>
          <w:tcPr>
            <w:tcW w:w="800" w:type="dxa"/>
            <w:vAlign w:val="center"/>
          </w:tcPr>
          <w:p>
            <w:pPr>
              <w:jc w:val="center"/>
              <w:rPr>
                <w:rFonts w:ascii="宋体" w:hAnsi="宋体"/>
                <w:sz w:val="24"/>
              </w:rPr>
            </w:pPr>
          </w:p>
        </w:tc>
      </w:tr>
    </w:tbl>
    <w:p>
      <w:pPr>
        <w:pStyle w:val="3"/>
        <w:tabs>
          <w:tab w:val="left" w:pos="840"/>
        </w:tabs>
        <w:spacing w:before="0" w:beforeAutospacing="0" w:after="0" w:afterAutospacing="0"/>
        <w:rPr>
          <w:b/>
          <w:sz w:val="21"/>
          <w:szCs w:val="21"/>
        </w:rPr>
      </w:pPr>
      <w:r>
        <w:rPr>
          <w:rFonts w:hint="eastAsia"/>
          <w:b/>
          <w:sz w:val="21"/>
          <w:szCs w:val="21"/>
        </w:rPr>
        <w:t>二、判断题</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ascii="宋体" w:hAnsi="宋体"/>
                <w:sz w:val="24"/>
              </w:rPr>
              <w:t>1</w:t>
            </w:r>
          </w:p>
        </w:tc>
        <w:tc>
          <w:tcPr>
            <w:tcW w:w="800" w:type="dxa"/>
            <w:vAlign w:val="center"/>
          </w:tcPr>
          <w:p>
            <w:pPr>
              <w:jc w:val="center"/>
              <w:rPr>
                <w:rFonts w:ascii="宋体" w:hAnsi="宋体"/>
                <w:sz w:val="24"/>
              </w:rPr>
            </w:pPr>
            <w:r>
              <w:rPr>
                <w:rFonts w:hint="eastAsia" w:ascii="宋体" w:hAnsi="宋体"/>
                <w:sz w:val="24"/>
              </w:rPr>
              <w:t>2</w:t>
            </w:r>
          </w:p>
        </w:tc>
        <w:tc>
          <w:tcPr>
            <w:tcW w:w="801" w:type="dxa"/>
            <w:vAlign w:val="center"/>
          </w:tcPr>
          <w:p>
            <w:pPr>
              <w:jc w:val="center"/>
              <w:rPr>
                <w:rFonts w:ascii="宋体" w:hAnsi="宋体"/>
                <w:sz w:val="24"/>
              </w:rPr>
            </w:pPr>
            <w:r>
              <w:rPr>
                <w:rFonts w:hint="eastAsia" w:ascii="宋体" w:hAnsi="宋体"/>
                <w:sz w:val="24"/>
              </w:rPr>
              <w:t>3</w:t>
            </w:r>
          </w:p>
        </w:tc>
        <w:tc>
          <w:tcPr>
            <w:tcW w:w="801" w:type="dxa"/>
            <w:vAlign w:val="center"/>
          </w:tcPr>
          <w:p>
            <w:pPr>
              <w:jc w:val="center"/>
              <w:rPr>
                <w:rFonts w:ascii="宋体" w:hAnsi="宋体"/>
                <w:sz w:val="24"/>
              </w:rPr>
            </w:pPr>
            <w:r>
              <w:rPr>
                <w:rFonts w:hint="eastAsia" w:ascii="宋体" w:hAnsi="宋体"/>
                <w:sz w:val="24"/>
              </w:rPr>
              <w:t>4</w:t>
            </w:r>
          </w:p>
        </w:tc>
        <w:tc>
          <w:tcPr>
            <w:tcW w:w="801" w:type="dxa"/>
            <w:vAlign w:val="center"/>
          </w:tcPr>
          <w:p>
            <w:pPr>
              <w:jc w:val="center"/>
              <w:rPr>
                <w:rFonts w:ascii="宋体" w:hAnsi="宋体"/>
                <w:sz w:val="24"/>
              </w:rPr>
            </w:pPr>
            <w:r>
              <w:rPr>
                <w:rFonts w:hint="eastAsia" w:ascii="宋体" w:hAnsi="宋体"/>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ascii="宋体" w:hAnsi="宋体"/>
                <w:sz w:val="24"/>
              </w:rPr>
            </w:pPr>
            <w:r>
              <w:rPr>
                <w:rFonts w:hint="eastAsia"/>
                <w:szCs w:val="21"/>
              </w:rPr>
              <w:t>√</w:t>
            </w:r>
          </w:p>
        </w:tc>
        <w:tc>
          <w:tcPr>
            <w:tcW w:w="800" w:type="dxa"/>
            <w:vAlign w:val="center"/>
          </w:tcPr>
          <w:p>
            <w:pPr>
              <w:jc w:val="center"/>
              <w:rPr>
                <w:rFonts w:ascii="宋体" w:hAnsi="宋体"/>
                <w:sz w:val="24"/>
              </w:rPr>
            </w:pPr>
            <w:r>
              <w:rPr>
                <w:rFonts w:hint="eastAsia"/>
                <w:szCs w:val="21"/>
              </w:rPr>
              <w:t>×</w:t>
            </w:r>
          </w:p>
        </w:tc>
        <w:tc>
          <w:tcPr>
            <w:tcW w:w="801" w:type="dxa"/>
            <w:vAlign w:val="center"/>
          </w:tcPr>
          <w:p>
            <w:pPr>
              <w:jc w:val="center"/>
              <w:rPr>
                <w:rFonts w:ascii="宋体" w:hAnsi="宋体"/>
                <w:sz w:val="24"/>
              </w:rPr>
            </w:pPr>
            <w:r>
              <w:rPr>
                <w:rFonts w:hint="eastAsia"/>
                <w:szCs w:val="21"/>
              </w:rPr>
              <w:t>×</w:t>
            </w:r>
          </w:p>
        </w:tc>
        <w:tc>
          <w:tcPr>
            <w:tcW w:w="801" w:type="dxa"/>
            <w:vAlign w:val="center"/>
          </w:tcPr>
          <w:p>
            <w:pPr>
              <w:jc w:val="center"/>
              <w:rPr>
                <w:rFonts w:ascii="宋体" w:hAnsi="宋体"/>
                <w:sz w:val="24"/>
              </w:rPr>
            </w:pPr>
            <w:r>
              <w:rPr>
                <w:rFonts w:hint="eastAsia"/>
                <w:szCs w:val="21"/>
              </w:rPr>
              <w:t>×</w:t>
            </w:r>
          </w:p>
        </w:tc>
        <w:tc>
          <w:tcPr>
            <w:tcW w:w="801" w:type="dxa"/>
            <w:vAlign w:val="center"/>
          </w:tcPr>
          <w:p>
            <w:pPr>
              <w:jc w:val="center"/>
              <w:rPr>
                <w:rFonts w:ascii="宋体" w:hAnsi="宋体"/>
                <w:sz w:val="24"/>
              </w:rPr>
            </w:pPr>
          </w:p>
        </w:tc>
      </w:tr>
    </w:tbl>
    <w:p>
      <w:pPr>
        <w:pStyle w:val="3"/>
        <w:tabs>
          <w:tab w:val="left" w:pos="840"/>
        </w:tabs>
        <w:spacing w:before="0" w:beforeAutospacing="0" w:after="0" w:afterAutospacing="0"/>
        <w:rPr>
          <w:b/>
          <w:sz w:val="21"/>
          <w:szCs w:val="21"/>
        </w:rPr>
      </w:pPr>
      <w:r>
        <w:rPr>
          <w:rFonts w:hint="eastAsia"/>
          <w:b/>
          <w:sz w:val="21"/>
          <w:szCs w:val="21"/>
        </w:rPr>
        <w:t>三、名词解释</w:t>
      </w:r>
    </w:p>
    <w:p>
      <w:pPr>
        <w:pStyle w:val="3"/>
        <w:tabs>
          <w:tab w:val="left" w:pos="840"/>
        </w:tabs>
        <w:spacing w:before="0" w:beforeAutospacing="0" w:after="0" w:afterAutospacing="0"/>
        <w:rPr>
          <w:sz w:val="21"/>
          <w:szCs w:val="21"/>
        </w:rPr>
      </w:pPr>
      <w:r>
        <w:rPr>
          <w:rFonts w:hint="eastAsia"/>
          <w:sz w:val="21"/>
          <w:szCs w:val="21"/>
        </w:rPr>
        <w:t>1、成本性态：指在一定条件下成本总额与特定业务量之间的依存关系。</w:t>
      </w:r>
    </w:p>
    <w:p>
      <w:pPr>
        <w:pStyle w:val="3"/>
        <w:tabs>
          <w:tab w:val="left" w:pos="840"/>
        </w:tabs>
        <w:spacing w:before="0" w:beforeAutospacing="0" w:after="0" w:afterAutospacing="0"/>
        <w:rPr>
          <w:sz w:val="21"/>
          <w:szCs w:val="21"/>
        </w:rPr>
      </w:pPr>
      <w:r>
        <w:rPr>
          <w:rFonts w:hint="eastAsia"/>
          <w:sz w:val="21"/>
          <w:szCs w:val="21"/>
        </w:rPr>
        <w:t>2、完全成本法：指在组织常规的成本计算过程中，以成本按其经济用途分类为前提条件，将全部生产成本作为产品成本的构成内容，只将非生产成本作为期间成本，并按传统式损益确定程序计量损益的一种成本计算模式。</w:t>
      </w:r>
    </w:p>
    <w:p>
      <w:pPr>
        <w:rPr>
          <w:szCs w:val="21"/>
        </w:rPr>
      </w:pPr>
      <w:r>
        <w:rPr>
          <w:rFonts w:hint="eastAsia"/>
          <w:szCs w:val="21"/>
        </w:rPr>
        <w:t>3、零基预算：指在编制成本费用预算时，不考虑以往会计期间所发生的费用项目或费用数额，以所有的预算支出为零为出发点，规划预算期内的各项费用的内容及开支标准的一种方法。</w:t>
      </w:r>
    </w:p>
    <w:p>
      <w:pPr>
        <w:rPr>
          <w:szCs w:val="21"/>
        </w:rPr>
      </w:pPr>
      <w:r>
        <w:rPr>
          <w:szCs w:val="21"/>
        </w:rPr>
        <w:t>4</w:t>
      </w:r>
      <w:r>
        <w:rPr>
          <w:rFonts w:hint="eastAsia"/>
          <w:szCs w:val="21"/>
        </w:rPr>
        <w:t>、投资回收期：</w:t>
      </w:r>
    </w:p>
    <w:p>
      <w:pPr>
        <w:pStyle w:val="3"/>
        <w:tabs>
          <w:tab w:val="left" w:pos="840"/>
        </w:tabs>
        <w:spacing w:before="0" w:beforeAutospacing="0" w:after="0" w:afterAutospacing="0"/>
        <w:rPr>
          <w:b/>
          <w:sz w:val="21"/>
          <w:szCs w:val="21"/>
        </w:rPr>
      </w:pPr>
      <w:r>
        <w:rPr>
          <w:rFonts w:hint="eastAsia"/>
          <w:b/>
          <w:sz w:val="21"/>
          <w:szCs w:val="21"/>
        </w:rPr>
        <w:t>四、问答题</w:t>
      </w:r>
    </w:p>
    <w:p>
      <w:pPr>
        <w:spacing w:line="0" w:lineRule="atLeast"/>
        <w:ind w:left="105" w:leftChars="50" w:right="105" w:rightChars="50"/>
        <w:rPr>
          <w:rFonts w:ascii="宋体" w:hAnsi="宋体"/>
          <w:szCs w:val="21"/>
        </w:rPr>
      </w:pPr>
      <w:r>
        <w:rPr>
          <w:rFonts w:hint="eastAsia" w:ascii="宋体" w:hAnsi="宋体"/>
          <w:szCs w:val="21"/>
        </w:rPr>
        <w:t xml:space="preserve">1、答：（1）计算各种产品的边际贡献率； </w:t>
      </w:r>
    </w:p>
    <w:p>
      <w:pPr>
        <w:spacing w:line="0" w:lineRule="atLeast"/>
        <w:ind w:left="105" w:leftChars="50" w:right="105" w:rightChars="50"/>
        <w:rPr>
          <w:rFonts w:ascii="宋体" w:hAnsi="宋体"/>
          <w:szCs w:val="21"/>
        </w:rPr>
      </w:pPr>
      <w:r>
        <w:rPr>
          <w:rFonts w:hint="eastAsia" w:ascii="宋体" w:hAnsi="宋体"/>
          <w:szCs w:val="21"/>
        </w:rPr>
        <w:t xml:space="preserve">（2）计算各种产品的销售比例； </w:t>
      </w:r>
    </w:p>
    <w:p>
      <w:pPr>
        <w:spacing w:line="0" w:lineRule="atLeast"/>
        <w:ind w:left="105" w:leftChars="50" w:right="105" w:rightChars="50"/>
        <w:rPr>
          <w:rFonts w:ascii="宋体" w:hAnsi="宋体"/>
          <w:szCs w:val="21"/>
        </w:rPr>
      </w:pPr>
      <w:r>
        <w:rPr>
          <w:rFonts w:hint="eastAsia" w:ascii="宋体" w:hAnsi="宋体"/>
          <w:szCs w:val="21"/>
        </w:rPr>
        <w:t xml:space="preserve">（3）计算各种产品的加权平均边际贡献率； </w:t>
      </w:r>
    </w:p>
    <w:p>
      <w:pPr>
        <w:spacing w:line="0" w:lineRule="atLeast"/>
        <w:ind w:left="105" w:leftChars="50" w:right="105" w:rightChars="50"/>
        <w:rPr>
          <w:rFonts w:ascii="宋体" w:hAnsi="宋体"/>
          <w:szCs w:val="21"/>
        </w:rPr>
      </w:pPr>
      <w:r>
        <w:rPr>
          <w:rFonts w:hint="eastAsia" w:ascii="宋体" w:hAnsi="宋体"/>
          <w:szCs w:val="21"/>
        </w:rPr>
        <w:t xml:space="preserve">（4）运用加权平均边际贡献率计算综合盈亏平衡点销售额； </w:t>
      </w:r>
    </w:p>
    <w:p>
      <w:pPr>
        <w:spacing w:line="0" w:lineRule="atLeast"/>
        <w:ind w:left="105" w:leftChars="50" w:right="105" w:rightChars="50"/>
        <w:rPr>
          <w:rFonts w:ascii="宋体" w:hAnsi="宋体"/>
          <w:color w:val="333333"/>
          <w:szCs w:val="21"/>
        </w:rPr>
      </w:pPr>
      <w:r>
        <w:rPr>
          <w:rFonts w:hint="eastAsia" w:ascii="宋体" w:hAnsi="宋体"/>
          <w:szCs w:val="21"/>
        </w:rPr>
        <w:t>（5）计算各种产品的盈亏平衡点销售额。</w:t>
      </w:r>
    </w:p>
    <w:p>
      <w:pPr>
        <w:pStyle w:val="4"/>
        <w:spacing w:line="0" w:lineRule="atLeast"/>
        <w:ind w:left="105" w:leftChars="50" w:right="105" w:rightChars="50"/>
        <w:rPr>
          <w:rFonts w:hint="eastAsia"/>
          <w:szCs w:val="21"/>
        </w:rPr>
      </w:pPr>
    </w:p>
    <w:p>
      <w:pPr>
        <w:pStyle w:val="4"/>
        <w:spacing w:line="0" w:lineRule="atLeast"/>
        <w:ind w:left="105" w:leftChars="50" w:right="105" w:rightChars="50"/>
        <w:rPr>
          <w:rFonts w:ascii="宋体" w:hAnsi="宋体"/>
          <w:bCs/>
          <w:color w:val="000000" w:themeColor="text1"/>
          <w:szCs w:val="21"/>
        </w:rPr>
      </w:pPr>
      <w:r>
        <w:rPr>
          <w:rFonts w:hint="eastAsia"/>
          <w:szCs w:val="21"/>
        </w:rPr>
        <w:t>2、</w:t>
      </w:r>
      <w:r>
        <w:rPr>
          <w:rFonts w:hint="eastAsia" w:ascii="宋体" w:hAnsi="宋体"/>
          <w:bCs/>
          <w:color w:val="000000" w:themeColor="text1"/>
          <w:szCs w:val="21"/>
        </w:rPr>
        <w:t>答：（1）服务于企业内部管理。 （2）方法灵活多样性。 （3）面向未来的时间特征。 （4）会计信息不受会计准则约束。 （5）重视人的行为问题。</w:t>
      </w:r>
    </w:p>
    <w:p>
      <w:pPr>
        <w:tabs>
          <w:tab w:val="left" w:pos="4111"/>
        </w:tabs>
        <w:spacing w:line="0" w:lineRule="atLeast"/>
        <w:ind w:left="105" w:leftChars="50" w:right="105" w:rightChars="50"/>
        <w:rPr>
          <w:rFonts w:ascii="宋体" w:hAnsi="宋体"/>
          <w:b/>
          <w:szCs w:val="21"/>
        </w:rPr>
      </w:pPr>
      <w:r>
        <w:rPr>
          <w:rFonts w:hint="eastAsia"/>
          <w:b/>
          <w:szCs w:val="21"/>
        </w:rPr>
        <w:t>五、</w:t>
      </w:r>
      <w:r>
        <w:rPr>
          <w:rFonts w:hint="eastAsia" w:ascii="宋体" w:hAnsi="宋体"/>
          <w:b/>
          <w:szCs w:val="21"/>
        </w:rPr>
        <w:t>计算分析题</w:t>
      </w:r>
    </w:p>
    <w:p>
      <w:pPr>
        <w:autoSpaceDE w:val="0"/>
        <w:autoSpaceDN w:val="0"/>
        <w:adjustRightInd w:val="0"/>
        <w:rPr>
          <w:rFonts w:ascii="宋体" w:hAnsi="宋体"/>
          <w:szCs w:val="21"/>
        </w:rPr>
      </w:pPr>
      <w:r>
        <w:rPr>
          <w:rFonts w:hint="eastAsia" w:ascii="宋体" w:hAnsi="宋体"/>
          <w:szCs w:val="21"/>
        </w:rPr>
        <w:t>1、变动性制造费用效率差异=标准分配率×（实际工时-标准工时）</w:t>
      </w:r>
    </w:p>
    <w:p>
      <w:pPr>
        <w:autoSpaceDE w:val="0"/>
        <w:autoSpaceDN w:val="0"/>
        <w:adjustRightInd w:val="0"/>
        <w:rPr>
          <w:rFonts w:ascii="宋体" w:hAnsi="宋体"/>
          <w:szCs w:val="21"/>
        </w:rPr>
      </w:pPr>
      <w:r>
        <w:rPr>
          <w:rFonts w:hint="eastAsia" w:ascii="宋体" w:hAnsi="宋体"/>
          <w:szCs w:val="21"/>
        </w:rPr>
        <w:t xml:space="preserve">                         =0.36×（100000-600×200）</w:t>
      </w:r>
    </w:p>
    <w:p>
      <w:pPr>
        <w:autoSpaceDE w:val="0"/>
        <w:autoSpaceDN w:val="0"/>
        <w:adjustRightInd w:val="0"/>
        <w:rPr>
          <w:rFonts w:ascii="宋体" w:hAnsi="宋体"/>
          <w:color w:val="333333"/>
          <w:szCs w:val="21"/>
        </w:rPr>
      </w:pPr>
      <w:r>
        <w:rPr>
          <w:rFonts w:hint="eastAsia" w:ascii="宋体" w:hAnsi="宋体"/>
          <w:szCs w:val="21"/>
        </w:rPr>
        <w:t xml:space="preserve">                         =-7200（元）（有利差异） </w:t>
      </w:r>
    </w:p>
    <w:p>
      <w:pPr>
        <w:autoSpaceDE w:val="0"/>
        <w:autoSpaceDN w:val="0"/>
        <w:adjustRightInd w:val="0"/>
        <w:rPr>
          <w:szCs w:val="21"/>
        </w:rPr>
      </w:pPr>
      <w:r>
        <w:rPr>
          <w:rFonts w:hint="eastAsia"/>
          <w:color w:val="FF0000"/>
          <w:szCs w:val="21"/>
        </w:rPr>
        <w:t xml:space="preserve">  </w:t>
      </w:r>
      <w:r>
        <w:rPr>
          <w:rFonts w:hint="eastAsia"/>
          <w:szCs w:val="21"/>
        </w:rPr>
        <w:t xml:space="preserve"> 变动性制造费用的耗费差异=实际工时</w:t>
      </w:r>
      <w:r>
        <w:rPr>
          <w:rFonts w:hint="eastAsia" w:ascii="宋体" w:hAnsi="宋体"/>
          <w:szCs w:val="21"/>
        </w:rPr>
        <w:t>×</w:t>
      </w:r>
      <w:r>
        <w:rPr>
          <w:rFonts w:hint="eastAsia"/>
          <w:szCs w:val="21"/>
        </w:rPr>
        <w:t>（实际分配率-标准分配率）</w:t>
      </w:r>
    </w:p>
    <w:p>
      <w:pPr>
        <w:autoSpaceDE w:val="0"/>
        <w:autoSpaceDN w:val="0"/>
        <w:adjustRightInd w:val="0"/>
        <w:rPr>
          <w:rFonts w:ascii="宋体" w:hAnsi="宋体"/>
          <w:szCs w:val="21"/>
        </w:rPr>
      </w:pPr>
      <w:r>
        <w:rPr>
          <w:rFonts w:hint="eastAsia"/>
          <w:szCs w:val="21"/>
        </w:rPr>
        <w:t xml:space="preserve">                           =100000</w:t>
      </w:r>
      <w:r>
        <w:rPr>
          <w:rFonts w:hint="eastAsia" w:ascii="宋体" w:hAnsi="宋体"/>
          <w:szCs w:val="21"/>
        </w:rPr>
        <w:t>×（0.4-0.36）</w:t>
      </w:r>
    </w:p>
    <w:p>
      <w:pPr>
        <w:autoSpaceDE w:val="0"/>
        <w:autoSpaceDN w:val="0"/>
        <w:adjustRightInd w:val="0"/>
        <w:rPr>
          <w:szCs w:val="21"/>
        </w:rPr>
      </w:pPr>
      <w:r>
        <w:rPr>
          <w:rFonts w:hint="eastAsia" w:ascii="宋体" w:hAnsi="宋体"/>
          <w:szCs w:val="21"/>
        </w:rPr>
        <w:t xml:space="preserve">                           =4000元（不利差异）    </w:t>
      </w:r>
    </w:p>
    <w:p>
      <w:pPr>
        <w:spacing w:line="400" w:lineRule="exact"/>
        <w:rPr>
          <w:szCs w:val="21"/>
        </w:rPr>
      </w:pPr>
      <w:r>
        <w:rPr>
          <w:rFonts w:hint="eastAsia"/>
          <w:szCs w:val="21"/>
        </w:rPr>
        <w:t>2</w:t>
      </w:r>
      <w:r>
        <w:rPr>
          <w:szCs w:val="21"/>
        </w:rPr>
        <w:t>.差别收入=</w:t>
      </w:r>
      <w:r>
        <w:rPr>
          <w:rFonts w:hint="eastAsia"/>
          <w:szCs w:val="21"/>
        </w:rPr>
        <w:t xml:space="preserve">150000   </w:t>
      </w:r>
    </w:p>
    <w:p>
      <w:pPr>
        <w:spacing w:line="400" w:lineRule="exact"/>
        <w:rPr>
          <w:szCs w:val="21"/>
        </w:rPr>
      </w:pPr>
      <w:r>
        <w:rPr>
          <w:rFonts w:hint="eastAsia"/>
          <w:szCs w:val="21"/>
        </w:rPr>
        <w:t>差别成本=变动性制造成本+变动性销售费用</w:t>
      </w:r>
    </w:p>
    <w:p>
      <w:pPr>
        <w:spacing w:line="400" w:lineRule="exact"/>
        <w:rPr>
          <w:szCs w:val="21"/>
        </w:rPr>
      </w:pPr>
      <w:r>
        <w:rPr>
          <w:rFonts w:hint="eastAsia"/>
          <w:szCs w:val="21"/>
        </w:rPr>
        <w:t xml:space="preserve">        =105000+15000=120000=120000</w:t>
      </w:r>
    </w:p>
    <w:p>
      <w:pPr>
        <w:spacing w:line="400" w:lineRule="exact"/>
        <w:rPr>
          <w:rFonts w:ascii="宋体" w:hAnsi="宋体"/>
          <w:color w:val="333333"/>
          <w:szCs w:val="21"/>
        </w:rPr>
      </w:pPr>
      <w:r>
        <w:rPr>
          <w:rFonts w:hint="eastAsia"/>
          <w:szCs w:val="21"/>
        </w:rPr>
        <w:t>差别收入-差别成本=30000</w:t>
      </w:r>
      <w:r>
        <w:rPr>
          <w:szCs w:val="21"/>
        </w:rPr>
        <w:t xml:space="preserve"> </w:t>
      </w:r>
    </w:p>
    <w:p>
      <w:pPr>
        <w:spacing w:line="400" w:lineRule="exact"/>
        <w:rPr>
          <w:rFonts w:ascii="宋体" w:hAnsi="宋体"/>
          <w:color w:val="333333"/>
          <w:szCs w:val="21"/>
        </w:rPr>
      </w:pPr>
      <w:r>
        <w:rPr>
          <w:rFonts w:hint="eastAsia" w:ascii="宋体" w:hAnsi="宋体"/>
          <w:color w:val="333333"/>
          <w:szCs w:val="21"/>
        </w:rPr>
        <w:t xml:space="preserve">  上述计算表明，产品C虽然最终发生亏损7500元，但其差别收入超过差别成本30000，仍为整个企业实现最终利润做出了一定贡献。所以产品C不应停产，如果停产将亏损更多。</w:t>
      </w:r>
    </w:p>
    <w:p>
      <w:pPr>
        <w:ind w:firstLine="315" w:firstLineChars="150"/>
        <w:rPr>
          <w:rFonts w:hint="eastAsia" w:ascii="宋体" w:hAnsi="宋体"/>
          <w:color w:val="333333"/>
          <w:szCs w:val="21"/>
        </w:rPr>
      </w:pPr>
    </w:p>
    <w:p>
      <w:pPr>
        <w:ind w:firstLine="315" w:firstLineChars="150"/>
        <w:rPr>
          <w:rFonts w:hint="eastAsia" w:eastAsia="宋体"/>
          <w:color w:val="000000" w:themeColor="text1"/>
          <w:sz w:val="24"/>
          <w:lang w:val="en-US" w:eastAsia="zh-CN"/>
        </w:rPr>
      </w:pPr>
      <w:r>
        <w:rPr>
          <w:rFonts w:hint="eastAsia" w:ascii="宋体" w:hAnsi="宋体"/>
          <w:color w:val="333333"/>
          <w:szCs w:val="21"/>
        </w:rPr>
        <w:t>3</w:t>
      </w:r>
      <w:r>
        <w:rPr>
          <w:rFonts w:ascii="宋体" w:hAnsi="宋体"/>
          <w:color w:val="333333"/>
          <w:szCs w:val="21"/>
        </w:rPr>
        <w:t>.</w:t>
      </w:r>
      <w:r>
        <w:rPr>
          <w:rFonts w:hint="eastAsia" w:ascii="宋体" w:hAnsi="宋体"/>
          <w:color w:val="333333"/>
          <w:szCs w:val="21"/>
          <w:lang w:val="en-US" w:eastAsia="zh-CN"/>
        </w:rPr>
        <w:t>略</w:t>
      </w:r>
    </w:p>
    <w:p>
      <w:pPr>
        <w:spacing w:line="400" w:lineRule="exact"/>
        <w:rPr>
          <w:szCs w:val="21"/>
        </w:rPr>
      </w:pPr>
    </w:p>
    <w:sectPr>
      <w:headerReference r:id="rId3" w:type="default"/>
      <w:footerReference r:id="rId4" w:type="default"/>
      <w:pgSz w:w="10433" w:h="14742"/>
      <w:pgMar w:top="1400" w:right="771" w:bottom="1134"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幼圆">
    <w:altName w:val="宋体"/>
    <w:panose1 w:val="0201050906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ascii="幼圆" w:eastAsia="幼圆"/>
      </w:rPr>
    </w:pPr>
    <w:r>
      <w:rPr>
        <w:rFonts w:hint="eastAsia" w:ascii="幼圆" w:eastAsia="幼圆"/>
        <w:kern w:val="0"/>
      </w:rPr>
      <w:t xml:space="preserve">第 </w:t>
    </w:r>
    <w:r>
      <w:rPr>
        <w:rFonts w:hint="eastAsia" w:ascii="幼圆" w:eastAsia="幼圆"/>
        <w:kern w:val="0"/>
      </w:rPr>
      <w:fldChar w:fldCharType="begin"/>
    </w:r>
    <w:r>
      <w:rPr>
        <w:rFonts w:hint="eastAsia" w:ascii="幼圆" w:eastAsia="幼圆"/>
        <w:kern w:val="0"/>
      </w:rPr>
      <w:instrText xml:space="preserve"> PAGE </w:instrText>
    </w:r>
    <w:r>
      <w:rPr>
        <w:rFonts w:hint="eastAsia" w:ascii="幼圆" w:eastAsia="幼圆"/>
        <w:kern w:val="0"/>
      </w:rPr>
      <w:fldChar w:fldCharType="separate"/>
    </w:r>
    <w:r>
      <w:rPr>
        <w:rFonts w:ascii="幼圆" w:eastAsia="幼圆"/>
        <w:kern w:val="0"/>
      </w:rPr>
      <w:t>2</w:t>
    </w:r>
    <w:r>
      <w:rPr>
        <w:rFonts w:hint="eastAsia" w:ascii="幼圆" w:eastAsia="幼圆"/>
        <w:kern w:val="0"/>
      </w:rPr>
      <w:fldChar w:fldCharType="end"/>
    </w:r>
    <w:r>
      <w:rPr>
        <w:rFonts w:hint="eastAsia" w:ascii="幼圆" w:eastAsia="幼圆"/>
        <w:kern w:val="0"/>
      </w:rPr>
      <w:t xml:space="preserve"> 页 共 </w:t>
    </w:r>
    <w:r>
      <w:rPr>
        <w:rFonts w:hint="eastAsia" w:ascii="幼圆" w:eastAsia="幼圆"/>
        <w:kern w:val="0"/>
      </w:rPr>
      <w:fldChar w:fldCharType="begin"/>
    </w:r>
    <w:r>
      <w:rPr>
        <w:rFonts w:hint="eastAsia" w:ascii="幼圆" w:eastAsia="幼圆"/>
        <w:kern w:val="0"/>
      </w:rPr>
      <w:instrText xml:space="preserve"> NUMPAGES </w:instrText>
    </w:r>
    <w:r>
      <w:rPr>
        <w:rFonts w:hint="eastAsia" w:ascii="幼圆" w:eastAsia="幼圆"/>
        <w:kern w:val="0"/>
      </w:rPr>
      <w:fldChar w:fldCharType="separate"/>
    </w:r>
    <w:r>
      <w:rPr>
        <w:rFonts w:ascii="幼圆" w:eastAsia="幼圆"/>
        <w:kern w:val="0"/>
      </w:rPr>
      <w:t>2</w:t>
    </w:r>
    <w:r>
      <w:rPr>
        <w:rFonts w:hint="eastAsia" w:ascii="幼圆" w:eastAsia="幼圆"/>
        <w:kern w:val="0"/>
      </w:rPr>
      <w:fldChar w:fldCharType="end"/>
    </w:r>
    <w:r>
      <w:rPr>
        <w:rFonts w:hint="eastAsia" w:ascii="幼圆" w:eastAsia="幼圆"/>
        <w:kern w:val="0"/>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jZDczN2VjNDBhZjIwYzk1ZjIxZmJjMDllZDY4MWEifQ=="/>
  </w:docVars>
  <w:rsids>
    <w:rsidRoot w:val="005248AC"/>
    <w:rsid w:val="00012277"/>
    <w:rsid w:val="000169C2"/>
    <w:rsid w:val="00033AFB"/>
    <w:rsid w:val="00035AB7"/>
    <w:rsid w:val="00041748"/>
    <w:rsid w:val="0004288E"/>
    <w:rsid w:val="0004304B"/>
    <w:rsid w:val="000556EE"/>
    <w:rsid w:val="000561CA"/>
    <w:rsid w:val="0006200C"/>
    <w:rsid w:val="00063BA7"/>
    <w:rsid w:val="00070F60"/>
    <w:rsid w:val="000A69E0"/>
    <w:rsid w:val="000C230D"/>
    <w:rsid w:val="000C4D52"/>
    <w:rsid w:val="000C7196"/>
    <w:rsid w:val="000D1161"/>
    <w:rsid w:val="000D425D"/>
    <w:rsid w:val="000F20D4"/>
    <w:rsid w:val="000F4ABB"/>
    <w:rsid w:val="00102117"/>
    <w:rsid w:val="00104EA7"/>
    <w:rsid w:val="0010743D"/>
    <w:rsid w:val="001219BF"/>
    <w:rsid w:val="00124297"/>
    <w:rsid w:val="001342A1"/>
    <w:rsid w:val="00145ABB"/>
    <w:rsid w:val="00152360"/>
    <w:rsid w:val="00165089"/>
    <w:rsid w:val="00171961"/>
    <w:rsid w:val="0019142D"/>
    <w:rsid w:val="001971F5"/>
    <w:rsid w:val="001A4A38"/>
    <w:rsid w:val="001B671F"/>
    <w:rsid w:val="001B7A9C"/>
    <w:rsid w:val="001C1062"/>
    <w:rsid w:val="001E228E"/>
    <w:rsid w:val="001E564B"/>
    <w:rsid w:val="001F40BE"/>
    <w:rsid w:val="00241EF1"/>
    <w:rsid w:val="00262866"/>
    <w:rsid w:val="0026534F"/>
    <w:rsid w:val="00274641"/>
    <w:rsid w:val="0027698E"/>
    <w:rsid w:val="00290B98"/>
    <w:rsid w:val="00292483"/>
    <w:rsid w:val="0029398D"/>
    <w:rsid w:val="0029466C"/>
    <w:rsid w:val="00294BE2"/>
    <w:rsid w:val="0029552C"/>
    <w:rsid w:val="002A265D"/>
    <w:rsid w:val="002A3FEF"/>
    <w:rsid w:val="002C3C05"/>
    <w:rsid w:val="002D7CCA"/>
    <w:rsid w:val="002F10A6"/>
    <w:rsid w:val="002F6338"/>
    <w:rsid w:val="003132EC"/>
    <w:rsid w:val="003200E9"/>
    <w:rsid w:val="003207BE"/>
    <w:rsid w:val="00322A91"/>
    <w:rsid w:val="0033165F"/>
    <w:rsid w:val="00334C6A"/>
    <w:rsid w:val="00342C8E"/>
    <w:rsid w:val="003441B7"/>
    <w:rsid w:val="00347137"/>
    <w:rsid w:val="00362AC6"/>
    <w:rsid w:val="00365994"/>
    <w:rsid w:val="00366EB9"/>
    <w:rsid w:val="00370E18"/>
    <w:rsid w:val="00376664"/>
    <w:rsid w:val="0039162A"/>
    <w:rsid w:val="00393FC8"/>
    <w:rsid w:val="00395B44"/>
    <w:rsid w:val="003B050C"/>
    <w:rsid w:val="003B7828"/>
    <w:rsid w:val="003C5344"/>
    <w:rsid w:val="003D1818"/>
    <w:rsid w:val="003F11C4"/>
    <w:rsid w:val="003F4DA0"/>
    <w:rsid w:val="00402519"/>
    <w:rsid w:val="00422FBC"/>
    <w:rsid w:val="00424338"/>
    <w:rsid w:val="00432ECC"/>
    <w:rsid w:val="0043367E"/>
    <w:rsid w:val="004339E8"/>
    <w:rsid w:val="00433AA9"/>
    <w:rsid w:val="004433F8"/>
    <w:rsid w:val="004450F3"/>
    <w:rsid w:val="0045229C"/>
    <w:rsid w:val="00455CB4"/>
    <w:rsid w:val="00457128"/>
    <w:rsid w:val="00465C0D"/>
    <w:rsid w:val="00467964"/>
    <w:rsid w:val="0047127D"/>
    <w:rsid w:val="004724BA"/>
    <w:rsid w:val="00475F86"/>
    <w:rsid w:val="00477C1B"/>
    <w:rsid w:val="00482215"/>
    <w:rsid w:val="0048235A"/>
    <w:rsid w:val="00483EA1"/>
    <w:rsid w:val="00491961"/>
    <w:rsid w:val="004975EA"/>
    <w:rsid w:val="004A1C6A"/>
    <w:rsid w:val="004A313B"/>
    <w:rsid w:val="004A43DC"/>
    <w:rsid w:val="004B1AC5"/>
    <w:rsid w:val="004C2D7B"/>
    <w:rsid w:val="004D44C4"/>
    <w:rsid w:val="004D5C97"/>
    <w:rsid w:val="004E0BD9"/>
    <w:rsid w:val="004E1519"/>
    <w:rsid w:val="004F7F47"/>
    <w:rsid w:val="005051DB"/>
    <w:rsid w:val="00506D1E"/>
    <w:rsid w:val="005248AC"/>
    <w:rsid w:val="00535783"/>
    <w:rsid w:val="00541B5D"/>
    <w:rsid w:val="00546804"/>
    <w:rsid w:val="00551229"/>
    <w:rsid w:val="0056431B"/>
    <w:rsid w:val="00567F5B"/>
    <w:rsid w:val="00570FCD"/>
    <w:rsid w:val="005835A1"/>
    <w:rsid w:val="00590E63"/>
    <w:rsid w:val="0059220C"/>
    <w:rsid w:val="00592A7B"/>
    <w:rsid w:val="00593B70"/>
    <w:rsid w:val="005A3230"/>
    <w:rsid w:val="005A3326"/>
    <w:rsid w:val="005A7CC2"/>
    <w:rsid w:val="005B0D06"/>
    <w:rsid w:val="005B5439"/>
    <w:rsid w:val="005D0F04"/>
    <w:rsid w:val="005D3502"/>
    <w:rsid w:val="005D47B0"/>
    <w:rsid w:val="005D5978"/>
    <w:rsid w:val="005D7569"/>
    <w:rsid w:val="005E5228"/>
    <w:rsid w:val="005E5557"/>
    <w:rsid w:val="00605790"/>
    <w:rsid w:val="00605CC4"/>
    <w:rsid w:val="00614E59"/>
    <w:rsid w:val="006224E0"/>
    <w:rsid w:val="006225D1"/>
    <w:rsid w:val="00632F53"/>
    <w:rsid w:val="00634E04"/>
    <w:rsid w:val="006365F1"/>
    <w:rsid w:val="00644D19"/>
    <w:rsid w:val="00646DA0"/>
    <w:rsid w:val="00653C24"/>
    <w:rsid w:val="00685FDE"/>
    <w:rsid w:val="00687DBF"/>
    <w:rsid w:val="006B43BA"/>
    <w:rsid w:val="006D1E88"/>
    <w:rsid w:val="006E04DB"/>
    <w:rsid w:val="006E1BDD"/>
    <w:rsid w:val="00702A4B"/>
    <w:rsid w:val="00702DB3"/>
    <w:rsid w:val="007135EB"/>
    <w:rsid w:val="0072756C"/>
    <w:rsid w:val="0074138C"/>
    <w:rsid w:val="00742086"/>
    <w:rsid w:val="007456B5"/>
    <w:rsid w:val="00747064"/>
    <w:rsid w:val="0074789B"/>
    <w:rsid w:val="00755D08"/>
    <w:rsid w:val="00761AC2"/>
    <w:rsid w:val="00776C7A"/>
    <w:rsid w:val="007813A2"/>
    <w:rsid w:val="0078294B"/>
    <w:rsid w:val="007A27BD"/>
    <w:rsid w:val="007B371D"/>
    <w:rsid w:val="007C54BC"/>
    <w:rsid w:val="007D7CBC"/>
    <w:rsid w:val="007E0F8A"/>
    <w:rsid w:val="007F082D"/>
    <w:rsid w:val="007F2D1B"/>
    <w:rsid w:val="007F3EA3"/>
    <w:rsid w:val="007F73C1"/>
    <w:rsid w:val="007F78D7"/>
    <w:rsid w:val="008109D8"/>
    <w:rsid w:val="00820CFD"/>
    <w:rsid w:val="00823613"/>
    <w:rsid w:val="00831915"/>
    <w:rsid w:val="00833B7A"/>
    <w:rsid w:val="0084515F"/>
    <w:rsid w:val="00854451"/>
    <w:rsid w:val="00860480"/>
    <w:rsid w:val="00863780"/>
    <w:rsid w:val="00871DA3"/>
    <w:rsid w:val="008A2498"/>
    <w:rsid w:val="008B0AD8"/>
    <w:rsid w:val="008D11A0"/>
    <w:rsid w:val="008D1B50"/>
    <w:rsid w:val="008E38F8"/>
    <w:rsid w:val="008F0193"/>
    <w:rsid w:val="00920098"/>
    <w:rsid w:val="00933561"/>
    <w:rsid w:val="00951071"/>
    <w:rsid w:val="00951861"/>
    <w:rsid w:val="00955DDB"/>
    <w:rsid w:val="0097530B"/>
    <w:rsid w:val="00977BE7"/>
    <w:rsid w:val="00981478"/>
    <w:rsid w:val="00991A74"/>
    <w:rsid w:val="00993F63"/>
    <w:rsid w:val="009B08F3"/>
    <w:rsid w:val="009B4575"/>
    <w:rsid w:val="009C1239"/>
    <w:rsid w:val="009D08BE"/>
    <w:rsid w:val="009D5CA8"/>
    <w:rsid w:val="009F4C02"/>
    <w:rsid w:val="00A028AA"/>
    <w:rsid w:val="00A14079"/>
    <w:rsid w:val="00A30736"/>
    <w:rsid w:val="00A3146B"/>
    <w:rsid w:val="00A37FE8"/>
    <w:rsid w:val="00A42093"/>
    <w:rsid w:val="00A51344"/>
    <w:rsid w:val="00A636CB"/>
    <w:rsid w:val="00A73185"/>
    <w:rsid w:val="00A766CD"/>
    <w:rsid w:val="00AA50D1"/>
    <w:rsid w:val="00AB5DD7"/>
    <w:rsid w:val="00AC7AC7"/>
    <w:rsid w:val="00AD675D"/>
    <w:rsid w:val="00AF1AD9"/>
    <w:rsid w:val="00AF3C02"/>
    <w:rsid w:val="00B03B3B"/>
    <w:rsid w:val="00B1782A"/>
    <w:rsid w:val="00B2359C"/>
    <w:rsid w:val="00B34446"/>
    <w:rsid w:val="00B56DA0"/>
    <w:rsid w:val="00B62373"/>
    <w:rsid w:val="00B633EA"/>
    <w:rsid w:val="00B74AA1"/>
    <w:rsid w:val="00B82750"/>
    <w:rsid w:val="00B87662"/>
    <w:rsid w:val="00B92589"/>
    <w:rsid w:val="00BA2CEA"/>
    <w:rsid w:val="00BB6CC2"/>
    <w:rsid w:val="00BD67E3"/>
    <w:rsid w:val="00BE3EF5"/>
    <w:rsid w:val="00C04CD1"/>
    <w:rsid w:val="00C07BC6"/>
    <w:rsid w:val="00C111EF"/>
    <w:rsid w:val="00C1584B"/>
    <w:rsid w:val="00C535DB"/>
    <w:rsid w:val="00C90FDC"/>
    <w:rsid w:val="00C910A7"/>
    <w:rsid w:val="00C91859"/>
    <w:rsid w:val="00CB0458"/>
    <w:rsid w:val="00CB44E6"/>
    <w:rsid w:val="00CC1726"/>
    <w:rsid w:val="00CC322A"/>
    <w:rsid w:val="00CC438E"/>
    <w:rsid w:val="00CE4D0D"/>
    <w:rsid w:val="00CE4E61"/>
    <w:rsid w:val="00CF37CE"/>
    <w:rsid w:val="00CF414A"/>
    <w:rsid w:val="00D1013F"/>
    <w:rsid w:val="00D16F30"/>
    <w:rsid w:val="00D238D9"/>
    <w:rsid w:val="00D23AB4"/>
    <w:rsid w:val="00D346A7"/>
    <w:rsid w:val="00D36304"/>
    <w:rsid w:val="00D43136"/>
    <w:rsid w:val="00D469AC"/>
    <w:rsid w:val="00D54D7E"/>
    <w:rsid w:val="00D5626F"/>
    <w:rsid w:val="00D60966"/>
    <w:rsid w:val="00D82165"/>
    <w:rsid w:val="00D87EF7"/>
    <w:rsid w:val="00D93225"/>
    <w:rsid w:val="00DB5245"/>
    <w:rsid w:val="00DC068D"/>
    <w:rsid w:val="00DC1EF1"/>
    <w:rsid w:val="00DC61F1"/>
    <w:rsid w:val="00DD0265"/>
    <w:rsid w:val="00DE58BB"/>
    <w:rsid w:val="00E02BF7"/>
    <w:rsid w:val="00E03C1C"/>
    <w:rsid w:val="00E04AD0"/>
    <w:rsid w:val="00E05817"/>
    <w:rsid w:val="00E173BA"/>
    <w:rsid w:val="00E20C2D"/>
    <w:rsid w:val="00E217F9"/>
    <w:rsid w:val="00E21C83"/>
    <w:rsid w:val="00E402DA"/>
    <w:rsid w:val="00E447B2"/>
    <w:rsid w:val="00E822F7"/>
    <w:rsid w:val="00E843F3"/>
    <w:rsid w:val="00E864B4"/>
    <w:rsid w:val="00E942D3"/>
    <w:rsid w:val="00EA0851"/>
    <w:rsid w:val="00EB35E7"/>
    <w:rsid w:val="00EB45A3"/>
    <w:rsid w:val="00EB4D42"/>
    <w:rsid w:val="00EB77AE"/>
    <w:rsid w:val="00EC0FF4"/>
    <w:rsid w:val="00ED1F46"/>
    <w:rsid w:val="00ED47FF"/>
    <w:rsid w:val="00EE7E6F"/>
    <w:rsid w:val="00EF5FC9"/>
    <w:rsid w:val="00F01984"/>
    <w:rsid w:val="00F0422C"/>
    <w:rsid w:val="00F05F74"/>
    <w:rsid w:val="00F06ACE"/>
    <w:rsid w:val="00F07F79"/>
    <w:rsid w:val="00F1343E"/>
    <w:rsid w:val="00F20243"/>
    <w:rsid w:val="00F23248"/>
    <w:rsid w:val="00F246C0"/>
    <w:rsid w:val="00F24A53"/>
    <w:rsid w:val="00F3360A"/>
    <w:rsid w:val="00F51A91"/>
    <w:rsid w:val="00F81D71"/>
    <w:rsid w:val="00F847DA"/>
    <w:rsid w:val="00F91935"/>
    <w:rsid w:val="00FA2683"/>
    <w:rsid w:val="00FA4A8F"/>
    <w:rsid w:val="00FA6CF0"/>
    <w:rsid w:val="00FC4A18"/>
    <w:rsid w:val="00FD0ACE"/>
    <w:rsid w:val="00FD2126"/>
    <w:rsid w:val="00FE712A"/>
    <w:rsid w:val="04AD3917"/>
    <w:rsid w:val="19DB32C6"/>
    <w:rsid w:val="1B496366"/>
    <w:rsid w:val="29682DB1"/>
    <w:rsid w:val="30AA7F16"/>
    <w:rsid w:val="3FBF2405"/>
    <w:rsid w:val="44747CC9"/>
    <w:rsid w:val="45FC35FB"/>
    <w:rsid w:val="47F06A46"/>
    <w:rsid w:val="49D075AA"/>
    <w:rsid w:val="4B06409F"/>
    <w:rsid w:val="4EA71526"/>
    <w:rsid w:val="57EF65BA"/>
    <w:rsid w:val="5A751DEA"/>
    <w:rsid w:val="766C1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Body Text"/>
    <w:basedOn w:val="1"/>
    <w:qFormat/>
    <w:uiPriority w:val="0"/>
    <w:pPr>
      <w:widowControl/>
      <w:spacing w:before="100" w:beforeAutospacing="1" w:after="100" w:afterAutospacing="1"/>
      <w:jc w:val="left"/>
    </w:pPr>
    <w:rPr>
      <w:rFonts w:ascii="宋体" w:hAnsi="宋体"/>
      <w:kern w:val="0"/>
      <w:sz w:val="24"/>
    </w:rPr>
  </w:style>
  <w:style w:type="paragraph" w:styleId="4">
    <w:name w:val="Body Text Indent"/>
    <w:basedOn w:val="1"/>
    <w:link w:val="13"/>
    <w:semiHidden/>
    <w:unhideWhenUsed/>
    <w:qFormat/>
    <w:uiPriority w:val="0"/>
    <w:pPr>
      <w:spacing w:after="120"/>
      <w:ind w:left="420" w:leftChars="200"/>
    </w:p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szCs w:val="21"/>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Char"/>
    <w:basedOn w:val="1"/>
    <w:qFormat/>
    <w:uiPriority w:val="0"/>
    <w:rPr>
      <w:szCs w:val="21"/>
    </w:rPr>
  </w:style>
  <w:style w:type="character" w:customStyle="1" w:styleId="13">
    <w:name w:val="正文文本缩进 字符"/>
    <w:basedOn w:val="11"/>
    <w:link w:val="4"/>
    <w:semiHidden/>
    <w:qFormat/>
    <w:uiPriority w:val="0"/>
    <w:rPr>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2783</Words>
  <Characters>3225</Characters>
  <Lines>9</Lines>
  <Paragraphs>2</Paragraphs>
  <TotalTime>4</TotalTime>
  <ScaleCrop>false</ScaleCrop>
  <LinksUpToDate>false</LinksUpToDate>
  <CharactersWithSpaces>4201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2021-04-28T14:27:00Z</dcterms:created>
  <dc:creator>beyond</dc:creator>
  <cp:lastModifiedBy>温岭育华徐老师18957602802</cp:lastModifiedBy>
  <cp:lastPrinted>2014-06-12T12:22:00Z</cp:lastPrinted>
  <dcterms:modified xsi:type="dcterms:W3CDTF">2023-06-02T06:16:52Z</dcterms:modified>
  <dc:title>杭州商学院2011/2012学年第二学期毕业班重修试卷（B）</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B7222A19463F48E9957AB0ABBF79DD48_13</vt:lpwstr>
  </property>
</Properties>
</file>