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sz w:val="21"/>
          <w:szCs w:val="21"/>
          <w:u w:val="none"/>
        </w:rPr>
      </w:pPr>
      <w:r>
        <w:rPr>
          <w:rFonts w:hint="eastAsia" w:ascii="宋体" w:hAnsi="宋体" w:cs="宋体"/>
          <w:bCs/>
          <w:sz w:val="21"/>
          <w:szCs w:val="21"/>
          <w:u w:val="none"/>
          <w:lang w:val="en-US" w:eastAsia="zh-CN"/>
        </w:rPr>
        <w:t>19级</w:t>
      </w:r>
      <w:r>
        <w:rPr>
          <w:rFonts w:hint="eastAsia" w:ascii="宋体" w:hAnsi="宋体" w:eastAsia="宋体" w:cs="宋体"/>
          <w:bCs/>
          <w:sz w:val="21"/>
          <w:szCs w:val="21"/>
          <w:u w:val="none"/>
          <w:lang w:val="en-US" w:eastAsia="zh-CN"/>
        </w:rPr>
        <w:t>经济法</w:t>
      </w:r>
      <w:r>
        <w:rPr>
          <w:rFonts w:hint="eastAsia" w:ascii="宋体" w:hAnsi="宋体" w:cs="宋体"/>
          <w:bCs/>
          <w:sz w:val="21"/>
          <w:szCs w:val="21"/>
          <w:u w:val="none"/>
          <w:lang w:val="en-US" w:eastAsia="zh-CN"/>
        </w:rPr>
        <w:t>（高起专）复习资料</w:t>
      </w:r>
      <w:r>
        <w:rPr>
          <w:rFonts w:hint="eastAsia" w:ascii="宋体" w:hAnsi="宋体" w:eastAsia="宋体" w:cs="宋体"/>
          <w:bCs/>
          <w:sz w:val="21"/>
          <w:szCs w:val="21"/>
          <w:u w:val="none"/>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一、</w:t>
      </w:r>
      <w:r>
        <w:rPr>
          <w:rFonts w:hint="eastAsia" w:ascii="宋体" w:hAnsi="宋体" w:eastAsia="宋体" w:cs="宋体"/>
          <w:b w:val="0"/>
          <w:bCs/>
          <w:sz w:val="21"/>
          <w:szCs w:val="21"/>
          <w:lang w:val="en-US" w:eastAsia="zh-CN"/>
        </w:rPr>
        <w:t>不定</w:t>
      </w:r>
      <w:r>
        <w:rPr>
          <w:rFonts w:hint="eastAsia" w:ascii="宋体" w:hAnsi="宋体" w:eastAsia="宋体" w:cs="宋体"/>
          <w:b w:val="0"/>
          <w:bCs/>
          <w:sz w:val="21"/>
          <w:szCs w:val="21"/>
        </w:rPr>
        <w:t>项选择题</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本大题共12小题，每小题2分，共24分。</w:t>
      </w:r>
      <w:r>
        <w:rPr>
          <w:rFonts w:hint="eastAsia" w:ascii="宋体" w:hAnsi="宋体" w:eastAsia="宋体" w:cs="宋体"/>
          <w:b w:val="0"/>
          <w:bCs/>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 我国《商业银行法》规定的三项经营原则为效益性、安全性和（</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 流动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统一性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公开性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公正性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 我国的《产品质量法》不适用（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 经过加工的产品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经过制作的产品</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 用于销售的产品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建设工程</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 在我国，对不正当竞争行为进行监督检查的国家机关是（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 人民检察院</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工商行政管理部门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 技术监督部门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经营者的业务主管部门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4.根据我国《反不正当竞争法》和相关法律的规定，下列哪一种关于诋毁商誉行为的表述是正确的？（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A.新闻单位被经营者唆使对其他经营者从事诋毁商誉行为的，可与经营者构成共同的不正当竞争行为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B.经营者通过新闻发布会形式发布影响其他同业经营者商誉的信息，只要该信息是真实的，不构成诋毁行为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C.诋毁行为只能是针对市场上某一特定竞争对手实施的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D.经营者对其他竞争者进行诋毁，其主观心态既可以是故意，也可以是过失</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5.反不正当竞争法所调整的竞争关系，必须是发生在（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经营者与消费者之间</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生产者与销售者之间</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C．生产者之间或销售者之间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D．经营者之间</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6.反不正当竞争法中的“经营者”是指（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A．一切法人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B．一切法人和自然人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C．从事商品经营或盈利性服务的法人、其他经济组织、个人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D．从事盈利性服务的法人、其他经济组织</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7.抽奖式的有奖销售，最高的金额不得超过(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A.800元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B.3000元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C.5000元    D.10000元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8.生产者对产品质量承担（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A. 过错责任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严格责任  </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C. 公平责任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 过错与公平相结合的责任</w:t>
      </w:r>
    </w:p>
    <w:p>
      <w:pPr>
        <w:keepNext w:val="0"/>
        <w:keepLines w:val="0"/>
        <w:pageBreakBefore w:val="0"/>
        <w:widowControl w:val="0"/>
        <w:kinsoku/>
        <w:wordWrap/>
        <w:overflowPunct/>
        <w:topLinePunct w:val="0"/>
        <w:autoSpaceDE/>
        <w:autoSpaceDN/>
        <w:bidi w:val="0"/>
        <w:adjustRightInd/>
        <w:snapToGrid/>
        <w:spacing w:line="400" w:lineRule="exact"/>
        <w:ind w:left="56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9．执行政府定价或者政府指导价的合同，逾期交付标的物的，遇价格上调时(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A.按原价格执行　　B.按双方当事人协商价格执行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C.按新价格执行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D.按交付价款一方决定的价格执行</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10．消费者协会的职能包括(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 向消费者提供消费信息和咨询服</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B．参与有关行政部门对商品和服务的监督、检查</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C．对消费者投诉事项进行调解</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D．对侵犯消费者权益事项进行审理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11.销售者的产品质量义务包括(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 采取措施保持销售产品的质量</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B. 不得处理有效期即将过期的商品</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C．不得销售失效产品</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D. 不得销售变质的商品</w:t>
      </w:r>
      <w:r>
        <w:rPr>
          <w:rFonts w:hint="eastAsia" w:ascii="宋体" w:hAnsi="宋体" w:eastAsia="宋体" w:cs="宋体"/>
          <w:sz w:val="21"/>
          <w:szCs w:val="21"/>
        </w:rPr>
        <w:br w:type="textWrapping"/>
      </w:r>
      <w:r>
        <w:rPr>
          <w:rFonts w:hint="eastAsia" w:ascii="宋体" w:hAnsi="宋体" w:eastAsia="宋体" w:cs="宋体"/>
          <w:sz w:val="21"/>
          <w:szCs w:val="21"/>
        </w:rPr>
        <w:t>12．我国《商业银行法》规定，商业银行的经营原则是（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A.公平性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B.效益性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C.安全性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D.流动性</w:t>
      </w:r>
    </w:p>
    <w:p>
      <w:pPr>
        <w:spacing w:line="360" w:lineRule="auto"/>
        <w:rPr>
          <w:rFonts w:ascii="Times New Roman" w:hAnsi="Times New Roman"/>
          <w:szCs w:val="21"/>
        </w:rPr>
      </w:pPr>
      <w:r>
        <w:rPr>
          <w:rFonts w:hint="eastAsia"/>
          <w:szCs w:val="21"/>
          <w:lang w:val="en-US" w:eastAsia="zh-CN"/>
        </w:rPr>
        <w:t>13</w:t>
      </w:r>
      <w:r>
        <w:rPr>
          <w:rFonts w:ascii="Times New Roman" w:hAnsi="宋体"/>
          <w:szCs w:val="21"/>
        </w:rPr>
        <w:t>、商法的首要原则是（</w:t>
      </w:r>
      <w:r>
        <w:rPr>
          <w:rFonts w:ascii="Times New Roman" w:hAnsi="Times New Roman"/>
          <w:szCs w:val="21"/>
        </w:rPr>
        <w:t xml:space="preserve">      </w:t>
      </w:r>
      <w:r>
        <w:rPr>
          <w:rFonts w:ascii="Times New Roman" w:hAnsi="宋体"/>
          <w:szCs w:val="21"/>
        </w:rPr>
        <w:t>）。</w:t>
      </w:r>
    </w:p>
    <w:p>
      <w:pPr>
        <w:spacing w:line="360" w:lineRule="auto"/>
        <w:rPr>
          <w:rFonts w:ascii="Times New Roman" w:hAnsi="Times New Roman"/>
          <w:szCs w:val="21"/>
        </w:rPr>
      </w:pPr>
      <w:r>
        <w:rPr>
          <w:rFonts w:ascii="Times New Roman" w:hAnsi="Times New Roman"/>
          <w:szCs w:val="21"/>
        </w:rPr>
        <w:t>A</w:t>
      </w:r>
      <w:r>
        <w:rPr>
          <w:rFonts w:ascii="Times New Roman" w:hAnsi="宋体"/>
          <w:szCs w:val="21"/>
        </w:rPr>
        <w:t>．简易、迅捷原则</w:t>
      </w:r>
      <w:r>
        <w:rPr>
          <w:rFonts w:ascii="Times New Roman" w:hAnsi="Times New Roman"/>
          <w:szCs w:val="21"/>
        </w:rPr>
        <w:t xml:space="preserve">    B</w:t>
      </w:r>
      <w:r>
        <w:rPr>
          <w:rFonts w:ascii="Times New Roman" w:hAnsi="宋体"/>
          <w:szCs w:val="21"/>
        </w:rPr>
        <w:t>．交易安全原则</w:t>
      </w:r>
      <w:r>
        <w:rPr>
          <w:rFonts w:hint="eastAsia" w:ascii="Times New Roman" w:hAnsi="宋体"/>
          <w:szCs w:val="21"/>
        </w:rPr>
        <w:t xml:space="preserve">     </w:t>
      </w:r>
      <w:r>
        <w:rPr>
          <w:rFonts w:ascii="Times New Roman" w:hAnsi="Times New Roman"/>
          <w:szCs w:val="21"/>
        </w:rPr>
        <w:t>C</w:t>
      </w:r>
      <w:r>
        <w:rPr>
          <w:rFonts w:ascii="Times New Roman" w:hAnsi="宋体"/>
          <w:szCs w:val="21"/>
        </w:rPr>
        <w:t>．互惠性原则</w:t>
      </w:r>
      <w:r>
        <w:rPr>
          <w:rFonts w:ascii="Times New Roman" w:hAnsi="Times New Roman"/>
          <w:szCs w:val="21"/>
        </w:rPr>
        <w:t xml:space="preserve">     D</w:t>
      </w:r>
      <w:r>
        <w:rPr>
          <w:rFonts w:ascii="Times New Roman" w:hAnsi="宋体"/>
          <w:szCs w:val="21"/>
        </w:rPr>
        <w:t>．营利性原则</w:t>
      </w:r>
    </w:p>
    <w:p>
      <w:pPr>
        <w:spacing w:line="360" w:lineRule="auto"/>
        <w:rPr>
          <w:rFonts w:ascii="Times New Roman" w:hAnsi="Times New Roman"/>
          <w:szCs w:val="21"/>
        </w:rPr>
      </w:pPr>
      <w:r>
        <w:rPr>
          <w:rFonts w:hint="eastAsia"/>
          <w:szCs w:val="21"/>
          <w:lang w:val="en-US" w:eastAsia="zh-CN"/>
        </w:rPr>
        <w:t>14</w:t>
      </w:r>
      <w:r>
        <w:rPr>
          <w:rFonts w:ascii="Times New Roman" w:hAnsi="宋体"/>
          <w:szCs w:val="21"/>
        </w:rPr>
        <w:t>、有限责任公司全体股东的首次出资额不得低于注册资本的（</w:t>
      </w:r>
      <w:r>
        <w:rPr>
          <w:rFonts w:ascii="Times New Roman" w:hAnsi="Times New Roman"/>
          <w:szCs w:val="21"/>
        </w:rPr>
        <w:t xml:space="preserve">      </w:t>
      </w:r>
      <w:r>
        <w:rPr>
          <w:rFonts w:ascii="Times New Roman" w:hAnsi="宋体"/>
          <w:szCs w:val="21"/>
        </w:rPr>
        <w:t>），也不得低于法定的注册资本最低限额。</w:t>
      </w:r>
    </w:p>
    <w:p>
      <w:pPr>
        <w:spacing w:line="360" w:lineRule="auto"/>
        <w:rPr>
          <w:rFonts w:ascii="Times New Roman" w:hAnsi="Times New Roman"/>
          <w:szCs w:val="21"/>
        </w:rPr>
      </w:pPr>
      <w:r>
        <w:rPr>
          <w:rFonts w:ascii="Times New Roman" w:hAnsi="Times New Roman"/>
          <w:szCs w:val="21"/>
        </w:rPr>
        <w:t>A</w:t>
      </w:r>
      <w:r>
        <w:rPr>
          <w:rFonts w:ascii="Times New Roman" w:hAnsi="宋体"/>
          <w:szCs w:val="21"/>
        </w:rPr>
        <w:t>．</w:t>
      </w:r>
      <w:r>
        <w:rPr>
          <w:rFonts w:ascii="Times New Roman" w:hAnsi="Times New Roman"/>
          <w:szCs w:val="21"/>
        </w:rPr>
        <w:t>5%          B</w:t>
      </w:r>
      <w:r>
        <w:rPr>
          <w:rFonts w:ascii="Times New Roman" w:hAnsi="宋体"/>
          <w:szCs w:val="21"/>
        </w:rPr>
        <w:t>．</w:t>
      </w:r>
      <w:r>
        <w:rPr>
          <w:rFonts w:ascii="Times New Roman" w:hAnsi="Times New Roman"/>
          <w:szCs w:val="21"/>
        </w:rPr>
        <w:t>10%           C</w:t>
      </w:r>
      <w:r>
        <w:rPr>
          <w:rFonts w:ascii="Times New Roman" w:hAnsi="宋体"/>
          <w:szCs w:val="21"/>
        </w:rPr>
        <w:t>．</w:t>
      </w:r>
      <w:r>
        <w:rPr>
          <w:rFonts w:ascii="Times New Roman" w:hAnsi="Times New Roman"/>
          <w:szCs w:val="21"/>
        </w:rPr>
        <w:t>20%           D</w:t>
      </w:r>
      <w:r>
        <w:rPr>
          <w:rFonts w:ascii="Times New Roman" w:hAnsi="宋体"/>
          <w:szCs w:val="21"/>
        </w:rPr>
        <w:t>．</w:t>
      </w:r>
      <w:r>
        <w:rPr>
          <w:rFonts w:ascii="Times New Roman" w:hAnsi="Times New Roman"/>
          <w:szCs w:val="21"/>
        </w:rPr>
        <w:t>30%</w:t>
      </w:r>
    </w:p>
    <w:p>
      <w:pPr>
        <w:spacing w:line="360" w:lineRule="auto"/>
        <w:rPr>
          <w:rFonts w:ascii="Times New Roman" w:hAnsi="Times New Roman"/>
          <w:szCs w:val="21"/>
        </w:rPr>
      </w:pPr>
      <w:r>
        <w:rPr>
          <w:rFonts w:hint="eastAsia"/>
          <w:szCs w:val="21"/>
          <w:lang w:val="en-US" w:eastAsia="zh-CN"/>
        </w:rPr>
        <w:t>15</w:t>
      </w:r>
      <w:r>
        <w:rPr>
          <w:rFonts w:ascii="Times New Roman" w:hAnsi="宋体"/>
          <w:szCs w:val="21"/>
        </w:rPr>
        <w:t>、人民法院裁定不受理破产申请的，应当自裁定作出之日起（</w:t>
      </w:r>
      <w:r>
        <w:rPr>
          <w:rFonts w:ascii="Times New Roman" w:hAnsi="Times New Roman"/>
          <w:szCs w:val="21"/>
        </w:rPr>
        <w:t xml:space="preserve">      </w:t>
      </w:r>
      <w:r>
        <w:rPr>
          <w:rFonts w:ascii="Times New Roman" w:hAnsi="宋体"/>
          <w:szCs w:val="21"/>
        </w:rPr>
        <w:t>）送达申请人并说明理由。</w:t>
      </w:r>
    </w:p>
    <w:p>
      <w:pPr>
        <w:spacing w:line="360" w:lineRule="auto"/>
        <w:rPr>
          <w:rFonts w:ascii="Times New Roman" w:hAnsi="Times New Roman"/>
          <w:szCs w:val="21"/>
        </w:rPr>
      </w:pPr>
      <w:r>
        <w:rPr>
          <w:rFonts w:ascii="Times New Roman" w:hAnsi="Times New Roman"/>
          <w:szCs w:val="21"/>
        </w:rPr>
        <w:t>A</w:t>
      </w:r>
      <w:r>
        <w:rPr>
          <w:rFonts w:ascii="Times New Roman" w:hAnsi="宋体"/>
          <w:szCs w:val="21"/>
        </w:rPr>
        <w:t>．五日内</w:t>
      </w:r>
      <w:r>
        <w:rPr>
          <w:rFonts w:ascii="Times New Roman" w:hAnsi="Times New Roman"/>
          <w:szCs w:val="21"/>
        </w:rPr>
        <w:t xml:space="preserve">         B</w:t>
      </w:r>
      <w:r>
        <w:rPr>
          <w:rFonts w:ascii="Times New Roman" w:hAnsi="宋体"/>
          <w:szCs w:val="21"/>
        </w:rPr>
        <w:t>．七日内</w:t>
      </w:r>
      <w:r>
        <w:rPr>
          <w:rFonts w:ascii="Times New Roman" w:hAnsi="Times New Roman"/>
          <w:szCs w:val="21"/>
        </w:rPr>
        <w:t xml:space="preserve">        C</w:t>
      </w:r>
      <w:r>
        <w:rPr>
          <w:rFonts w:ascii="Times New Roman" w:hAnsi="宋体"/>
          <w:szCs w:val="21"/>
        </w:rPr>
        <w:t>．十日内</w:t>
      </w:r>
      <w:r>
        <w:rPr>
          <w:rFonts w:ascii="Times New Roman" w:hAnsi="Times New Roman"/>
          <w:szCs w:val="21"/>
        </w:rPr>
        <w:t xml:space="preserve">         D</w:t>
      </w:r>
      <w:r>
        <w:rPr>
          <w:rFonts w:ascii="Times New Roman" w:hAnsi="宋体"/>
          <w:szCs w:val="21"/>
        </w:rPr>
        <w:t>．十五日内</w:t>
      </w:r>
    </w:p>
    <w:p>
      <w:pPr>
        <w:spacing w:line="360" w:lineRule="auto"/>
        <w:rPr>
          <w:rFonts w:ascii="Times New Roman" w:hAnsi="Times New Roman"/>
          <w:szCs w:val="21"/>
        </w:rPr>
      </w:pPr>
      <w:r>
        <w:rPr>
          <w:rFonts w:hint="eastAsia"/>
          <w:szCs w:val="21"/>
          <w:lang w:val="en-US" w:eastAsia="zh-CN"/>
        </w:rPr>
        <w:t>16</w:t>
      </w:r>
      <w:r>
        <w:rPr>
          <w:rFonts w:ascii="Times New Roman" w:hAnsi="宋体"/>
          <w:szCs w:val="21"/>
        </w:rPr>
        <w:t>、以公司股东的责任范围为标准，可将公司分为（</w:t>
      </w:r>
      <w:r>
        <w:rPr>
          <w:rFonts w:ascii="Times New Roman" w:hAnsi="Times New Roman"/>
          <w:szCs w:val="21"/>
        </w:rPr>
        <w:t xml:space="preserve">      </w:t>
      </w:r>
      <w:r>
        <w:rPr>
          <w:rFonts w:ascii="Times New Roman" w:hAnsi="宋体"/>
          <w:szCs w:val="21"/>
        </w:rPr>
        <w:t>）。</w:t>
      </w:r>
    </w:p>
    <w:p>
      <w:pPr>
        <w:spacing w:line="360" w:lineRule="auto"/>
        <w:rPr>
          <w:rFonts w:ascii="Times New Roman" w:hAnsi="Times New Roman"/>
          <w:szCs w:val="21"/>
        </w:rPr>
      </w:pPr>
      <w:r>
        <w:rPr>
          <w:rFonts w:ascii="Times New Roman" w:hAnsi="Times New Roman"/>
          <w:szCs w:val="21"/>
        </w:rPr>
        <w:t>A</w:t>
      </w:r>
      <w:r>
        <w:rPr>
          <w:rFonts w:ascii="Times New Roman" w:hAnsi="宋体"/>
          <w:szCs w:val="21"/>
        </w:rPr>
        <w:t>无限责任公司、两合公司、股份两合公司、股份有限公司、有限责任公司</w:t>
      </w:r>
    </w:p>
    <w:p>
      <w:pPr>
        <w:spacing w:line="360" w:lineRule="auto"/>
        <w:rPr>
          <w:rFonts w:ascii="Times New Roman" w:hAnsi="Times New Roman"/>
          <w:szCs w:val="21"/>
        </w:rPr>
      </w:pPr>
      <w:r>
        <w:rPr>
          <w:rFonts w:ascii="Times New Roman" w:hAnsi="Times New Roman"/>
          <w:szCs w:val="21"/>
        </w:rPr>
        <w:t>B</w:t>
      </w:r>
      <w:r>
        <w:rPr>
          <w:rFonts w:ascii="Times New Roman" w:hAnsi="宋体"/>
          <w:szCs w:val="21"/>
        </w:rPr>
        <w:t>封闭式公司、开放式公司</w:t>
      </w:r>
    </w:p>
    <w:p>
      <w:pPr>
        <w:spacing w:line="360" w:lineRule="auto"/>
        <w:rPr>
          <w:rFonts w:ascii="Times New Roman" w:hAnsi="Times New Roman"/>
          <w:szCs w:val="21"/>
        </w:rPr>
      </w:pPr>
      <w:r>
        <w:rPr>
          <w:rFonts w:ascii="Times New Roman" w:hAnsi="Times New Roman"/>
          <w:szCs w:val="21"/>
        </w:rPr>
        <w:t>C</w:t>
      </w:r>
      <w:r>
        <w:rPr>
          <w:rFonts w:ascii="Times New Roman" w:hAnsi="宋体"/>
          <w:szCs w:val="21"/>
        </w:rPr>
        <w:t>人合公司、资合公司、人合兼资合公司</w:t>
      </w:r>
    </w:p>
    <w:p>
      <w:pPr>
        <w:spacing w:line="360" w:lineRule="auto"/>
        <w:rPr>
          <w:rFonts w:ascii="Times New Roman" w:hAnsi="Times New Roman"/>
          <w:szCs w:val="21"/>
        </w:rPr>
      </w:pPr>
      <w:r>
        <w:rPr>
          <w:rFonts w:ascii="Times New Roman" w:hAnsi="Times New Roman"/>
          <w:szCs w:val="21"/>
        </w:rPr>
        <w:t>D</w:t>
      </w:r>
      <w:r>
        <w:rPr>
          <w:rFonts w:ascii="Times New Roman" w:hAnsi="宋体"/>
          <w:szCs w:val="21"/>
        </w:rPr>
        <w:t>总公司与分公司、母公司与子公司</w:t>
      </w:r>
      <w:r>
        <w:rPr>
          <w:rFonts w:ascii="Times New Roman" w:hAnsi="Times New Roman"/>
          <w:szCs w:val="21"/>
        </w:rPr>
        <w:t xml:space="preserve"> </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1</w:t>
      </w:r>
      <w:r>
        <w:rPr>
          <w:rFonts w:hint="eastAsia" w:ascii="Times New Roman" w:eastAsia="宋体"/>
          <w:b w:val="0"/>
          <w:sz w:val="21"/>
          <w:szCs w:val="21"/>
          <w:lang w:val="en-US" w:eastAsia="zh-CN"/>
        </w:rPr>
        <w:t>7</w:t>
      </w:r>
      <w:r>
        <w:rPr>
          <w:rFonts w:ascii="Times New Roman" w:hAnsi="宋体" w:eastAsia="宋体"/>
          <w:b w:val="0"/>
          <w:sz w:val="21"/>
          <w:szCs w:val="21"/>
        </w:rPr>
        <w:t>、关于汇票保证的记载事项</w:t>
      </w:r>
      <w:r>
        <w:rPr>
          <w:rFonts w:ascii="Times New Roman" w:hAnsi="Times New Roman" w:eastAsia="宋体"/>
          <w:b/>
          <w:sz w:val="21"/>
          <w:szCs w:val="21"/>
        </w:rPr>
        <mc:AlternateContent>
          <mc:Choice Requires="wps">
            <w:drawing>
              <wp:anchor distT="0" distB="0" distL="114300" distR="114300" simplePos="0" relativeHeight="251659264" behindDoc="0" locked="0" layoutInCell="1" allowOverlap="1">
                <wp:simplePos x="0" y="0"/>
                <wp:positionH relativeFrom="column">
                  <wp:posOffset>1692275</wp:posOffset>
                </wp:positionH>
                <wp:positionV relativeFrom="paragraph">
                  <wp:posOffset>4076700</wp:posOffset>
                </wp:positionV>
                <wp:extent cx="1800225" cy="647700"/>
                <wp:effectExtent l="0" t="0" r="0" b="0"/>
                <wp:wrapNone/>
                <wp:docPr id="2" name="矩形 2"/>
                <wp:cNvGraphicFramePr/>
                <a:graphic xmlns:a="http://schemas.openxmlformats.org/drawingml/2006/main">
                  <a:graphicData uri="http://schemas.microsoft.com/office/word/2010/wordprocessingShape">
                    <wps:wsp>
                      <wps:cNvSpPr/>
                      <wps:spPr>
                        <a:xfrm>
                          <a:off x="0" y="0"/>
                          <a:ext cx="1800225" cy="647700"/>
                        </a:xfrm>
                        <a:prstGeom prst="rect">
                          <a:avLst/>
                        </a:prstGeom>
                        <a:noFill/>
                        <a:ln>
                          <a:noFill/>
                        </a:ln>
                      </wps:spPr>
                      <wps:txbx>
                        <w:txbxContent>
                          <w:p>
                            <w:pPr>
                              <w:rPr>
                                <w:rFonts w:ascii="Arial" w:hAnsi="Arial" w:eastAsia="Times New Roman"/>
                                <w:color w:val="000000"/>
                                <w:sz w:val="29"/>
                                <w:szCs w:val="29"/>
                              </w:rPr>
                            </w:pPr>
                          </w:p>
                        </w:txbxContent>
                      </wps:txbx>
                      <wps:bodyPr upright="0"/>
                    </wps:wsp>
                  </a:graphicData>
                </a:graphic>
              </wp:anchor>
            </w:drawing>
          </mc:Choice>
          <mc:Fallback>
            <w:pict>
              <v:rect id="_x0000_s1026" o:spid="_x0000_s1026" o:spt="1" style="position:absolute;left:0pt;margin-left:133.25pt;margin-top:321pt;height:51pt;width:141.75pt;z-index:251659264;mso-width-relative:page;mso-height-relative:page;" filled="f" stroked="f" coordsize="21600,21600" o:gfxdata="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">
                <v:fill on="f" focussize="0,0"/>
                <v:stroke on="f"/>
                <v:imagedata o:title=""/>
                <o:lock v:ext="edit" aspectratio="f"/>
                <v:textbox>
                  <w:txbxContent>
                    <w:p>
                      <w:pPr>
                        <w:rPr>
                          <w:rFonts w:ascii="Arial" w:hAnsi="Arial" w:eastAsia="Times New Roman"/>
                          <w:color w:val="000000"/>
                          <w:sz w:val="29"/>
                          <w:szCs w:val="29"/>
                        </w:rPr>
                      </w:pPr>
                    </w:p>
                  </w:txbxContent>
                </v:textbox>
              </v:rect>
            </w:pict>
          </mc:Fallback>
        </mc:AlternateContent>
      </w:r>
      <w:r>
        <w:rPr>
          <w:rFonts w:ascii="Times New Roman" w:hAnsi="Times New Roman" w:eastAsia="宋体"/>
          <w:b/>
          <w:sz w:val="21"/>
          <w:szCs w:val="21"/>
        </w:rPr>
        <mc:AlternateContent>
          <mc:Choice Requires="wps">
            <w:drawing>
              <wp:anchor distT="0" distB="0" distL="114300" distR="114300" simplePos="0" relativeHeight="251660288" behindDoc="0" locked="0" layoutInCell="1" allowOverlap="1">
                <wp:simplePos x="0" y="0"/>
                <wp:positionH relativeFrom="column">
                  <wp:posOffset>4067175</wp:posOffset>
                </wp:positionH>
                <wp:positionV relativeFrom="paragraph">
                  <wp:posOffset>3573780</wp:posOffset>
                </wp:positionV>
                <wp:extent cx="2592070" cy="576580"/>
                <wp:effectExtent l="0" t="0" r="0" b="0"/>
                <wp:wrapNone/>
                <wp:docPr id="1" name="矩形 1"/>
                <wp:cNvGraphicFramePr/>
                <a:graphic xmlns:a="http://schemas.openxmlformats.org/drawingml/2006/main">
                  <a:graphicData uri="http://schemas.microsoft.com/office/word/2010/wordprocessingShape">
                    <wps:wsp>
                      <wps:cNvSpPr/>
                      <wps:spPr>
                        <a:xfrm>
                          <a:off x="0" y="0"/>
                          <a:ext cx="2592070" cy="576580"/>
                        </a:xfrm>
                        <a:prstGeom prst="rect">
                          <a:avLst/>
                        </a:prstGeom>
                        <a:noFill/>
                        <a:ln>
                          <a:noFill/>
                        </a:ln>
                      </wps:spPr>
                      <wps:bodyPr upright="0"/>
                    </wps:wsp>
                  </a:graphicData>
                </a:graphic>
              </wp:anchor>
            </w:drawing>
          </mc:Choice>
          <mc:Fallback>
            <w:pict>
              <v:rect id="_x0000_s1026" o:spid="_x0000_s1026" o:spt="1" style="position:absolute;left:0pt;margin-left:320.25pt;margin-top:281.4pt;height:45.4pt;width:204.1pt;z-index:251660288;mso-width-relative:page;mso-height-relative:page;" filled="f" stroked="f" coordsize="21600,21600" o:gfxdata="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">
                <v:fill on="f" focussize="0,0"/>
                <v:stroke on="f"/>
                <v:imagedata o:title=""/>
                <o:lock v:ext="edit" aspectratio="f"/>
              </v:rect>
            </w:pict>
          </mc:Fallback>
        </mc:AlternateContent>
      </w:r>
      <w:r>
        <w:rPr>
          <w:rFonts w:ascii="Times New Roman" w:hAnsi="宋体" w:eastAsia="宋体"/>
          <w:b w:val="0"/>
          <w:sz w:val="21"/>
          <w:szCs w:val="21"/>
        </w:rPr>
        <w:t>中，不属于绝对必要记载事项的是（</w:t>
      </w:r>
      <w:r>
        <w:rPr>
          <w:rFonts w:ascii="Times New Roman" w:hAnsi="Times New Roman" w:eastAsia="宋体"/>
          <w:b w:val="0"/>
          <w:sz w:val="21"/>
          <w:szCs w:val="21"/>
        </w:rPr>
        <w:t xml:space="preserve">      </w:t>
      </w:r>
      <w:r>
        <w:rPr>
          <w:rFonts w:ascii="Times New Roman" w:hAnsi="宋体" w:eastAsia="宋体"/>
          <w:b w:val="0"/>
          <w:sz w:val="21"/>
          <w:szCs w:val="21"/>
        </w:rPr>
        <w:t>）。</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A</w:t>
      </w:r>
      <w:r>
        <w:rPr>
          <w:rFonts w:ascii="Times New Roman" w:hAnsi="宋体" w:eastAsia="宋体"/>
          <w:b w:val="0"/>
          <w:sz w:val="21"/>
          <w:szCs w:val="21"/>
        </w:rPr>
        <w:t>表明</w:t>
      </w:r>
      <w:r>
        <w:rPr>
          <w:rFonts w:ascii="Times New Roman" w:hAnsi="Times New Roman" w:eastAsia="宋体"/>
          <w:b w:val="0"/>
          <w:sz w:val="21"/>
          <w:szCs w:val="21"/>
        </w:rPr>
        <w:t>“</w:t>
      </w:r>
      <w:r>
        <w:rPr>
          <w:rFonts w:ascii="Times New Roman" w:hAnsi="宋体" w:eastAsia="宋体"/>
          <w:b w:val="0"/>
          <w:sz w:val="21"/>
          <w:szCs w:val="21"/>
        </w:rPr>
        <w:t>保证</w:t>
      </w:r>
      <w:r>
        <w:rPr>
          <w:rFonts w:ascii="Times New Roman" w:hAnsi="Times New Roman" w:eastAsia="宋体"/>
          <w:b w:val="0"/>
          <w:sz w:val="21"/>
          <w:szCs w:val="21"/>
        </w:rPr>
        <w:t>”</w:t>
      </w:r>
      <w:r>
        <w:rPr>
          <w:rFonts w:ascii="Times New Roman" w:hAnsi="宋体" w:eastAsia="宋体"/>
          <w:b w:val="0"/>
          <w:sz w:val="21"/>
          <w:szCs w:val="21"/>
        </w:rPr>
        <w:t>的字样</w:t>
      </w:r>
      <w:r>
        <w:rPr>
          <w:rFonts w:ascii="Times New Roman" w:hAnsi="Times New Roman" w:eastAsia="宋体"/>
          <w:b w:val="0"/>
          <w:sz w:val="21"/>
          <w:szCs w:val="21"/>
        </w:rPr>
        <w:t xml:space="preserve">    B</w:t>
      </w:r>
      <w:r>
        <w:rPr>
          <w:rFonts w:ascii="Times New Roman" w:hAnsi="宋体" w:eastAsia="宋体"/>
          <w:b w:val="0"/>
          <w:sz w:val="21"/>
          <w:szCs w:val="21"/>
        </w:rPr>
        <w:t>保证人名称和住所</w:t>
      </w:r>
      <w:r>
        <w:rPr>
          <w:rFonts w:ascii="Times New Roman" w:hAnsi="Times New Roman" w:eastAsia="宋体"/>
          <w:b w:val="0"/>
          <w:sz w:val="21"/>
          <w:szCs w:val="21"/>
        </w:rPr>
        <w:t xml:space="preserve">   C</w:t>
      </w:r>
      <w:r>
        <w:rPr>
          <w:rFonts w:ascii="Times New Roman" w:hAnsi="宋体" w:eastAsia="宋体"/>
          <w:b w:val="0"/>
          <w:sz w:val="21"/>
          <w:szCs w:val="21"/>
        </w:rPr>
        <w:t>保证人签章</w:t>
      </w:r>
      <w:r>
        <w:rPr>
          <w:rFonts w:ascii="Times New Roman" w:hAnsi="Times New Roman" w:eastAsia="宋体"/>
          <w:b w:val="0"/>
          <w:sz w:val="21"/>
          <w:szCs w:val="21"/>
        </w:rPr>
        <w:t xml:space="preserve">    D</w:t>
      </w:r>
      <w:r>
        <w:rPr>
          <w:rFonts w:ascii="Times New Roman" w:hAnsi="宋体" w:eastAsia="宋体"/>
          <w:b w:val="0"/>
          <w:sz w:val="21"/>
          <w:szCs w:val="21"/>
        </w:rPr>
        <w:t>保证日期</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1</w:t>
      </w:r>
      <w:r>
        <w:rPr>
          <w:rFonts w:hint="eastAsia" w:ascii="Times New Roman" w:eastAsia="宋体"/>
          <w:b w:val="0"/>
          <w:sz w:val="21"/>
          <w:szCs w:val="21"/>
          <w:lang w:val="en-US" w:eastAsia="zh-CN"/>
        </w:rPr>
        <w:t>8</w:t>
      </w:r>
      <w:r>
        <w:rPr>
          <w:rFonts w:hint="eastAsia" w:ascii="Times New Roman" w:hAnsi="Times New Roman" w:eastAsia="宋体"/>
          <w:b w:val="0"/>
          <w:sz w:val="21"/>
          <w:szCs w:val="21"/>
        </w:rPr>
        <w:t>、</w:t>
      </w:r>
      <w:r>
        <w:rPr>
          <w:rFonts w:ascii="Times New Roman" w:hAnsi="宋体" w:eastAsia="宋体"/>
          <w:b w:val="0"/>
          <w:sz w:val="21"/>
          <w:szCs w:val="21"/>
        </w:rPr>
        <w:t>下列不属于销售者应承担的产品质量义务的是（</w:t>
      </w:r>
      <w:r>
        <w:rPr>
          <w:rFonts w:ascii="Times New Roman" w:hAnsi="Times New Roman" w:eastAsia="宋体"/>
          <w:b w:val="0"/>
          <w:sz w:val="21"/>
          <w:szCs w:val="21"/>
        </w:rPr>
        <w:t xml:space="preserve">      </w:t>
      </w:r>
      <w:r>
        <w:rPr>
          <w:rFonts w:ascii="Times New Roman" w:hAnsi="宋体" w:eastAsia="宋体"/>
          <w:b w:val="0"/>
          <w:sz w:val="21"/>
          <w:szCs w:val="21"/>
        </w:rPr>
        <w:t>）。</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A</w:t>
      </w:r>
      <w:r>
        <w:rPr>
          <w:rFonts w:ascii="Times New Roman" w:hAnsi="宋体" w:eastAsia="宋体"/>
          <w:b w:val="0"/>
          <w:sz w:val="21"/>
          <w:szCs w:val="21"/>
        </w:rPr>
        <w:t>．进货检查验收义务</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B</w:t>
      </w:r>
      <w:r>
        <w:rPr>
          <w:rFonts w:ascii="Times New Roman" w:hAnsi="宋体" w:eastAsia="宋体"/>
          <w:b w:val="0"/>
          <w:sz w:val="21"/>
          <w:szCs w:val="21"/>
        </w:rPr>
        <w:t>．销售产品质量保持义务</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C</w:t>
      </w:r>
      <w:r>
        <w:rPr>
          <w:rFonts w:ascii="Times New Roman" w:hAnsi="宋体" w:eastAsia="宋体"/>
          <w:b w:val="0"/>
          <w:sz w:val="21"/>
          <w:szCs w:val="21"/>
        </w:rPr>
        <w:t>．销售产品合法标识义务</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D</w:t>
      </w:r>
      <w:r>
        <w:rPr>
          <w:rFonts w:ascii="Times New Roman" w:hAnsi="宋体" w:eastAsia="宋体"/>
          <w:b w:val="0"/>
          <w:sz w:val="21"/>
          <w:szCs w:val="21"/>
        </w:rPr>
        <w:t>．生产商品，不得掺杂、掺假，不得以假充真、以次充好，不得以不合格产品冒充合格产品</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1</w:t>
      </w:r>
      <w:r>
        <w:rPr>
          <w:rFonts w:hint="eastAsia" w:ascii="Times New Roman" w:eastAsia="宋体"/>
          <w:b w:val="0"/>
          <w:sz w:val="21"/>
          <w:szCs w:val="21"/>
          <w:lang w:val="en-US" w:eastAsia="zh-CN"/>
        </w:rPr>
        <w:t>9</w:t>
      </w:r>
      <w:r>
        <w:rPr>
          <w:rFonts w:ascii="Times New Roman" w:hAnsi="宋体" w:eastAsia="宋体"/>
          <w:b w:val="0"/>
          <w:sz w:val="21"/>
          <w:szCs w:val="21"/>
        </w:rPr>
        <w:t>、经营者违反反不正当竞争法规定进行有奖销售的，监督检查部门应当责令其停止违法行为，可以根据情节处以的罚款，额度为（</w:t>
      </w:r>
      <w:r>
        <w:rPr>
          <w:rFonts w:ascii="Times New Roman" w:hAnsi="Times New Roman" w:eastAsia="宋体"/>
          <w:b w:val="0"/>
          <w:sz w:val="21"/>
          <w:szCs w:val="21"/>
        </w:rPr>
        <w:t xml:space="preserve">      </w:t>
      </w:r>
      <w:r>
        <w:rPr>
          <w:rFonts w:ascii="Times New Roman" w:hAnsi="宋体" w:eastAsia="宋体"/>
          <w:b w:val="0"/>
          <w:sz w:val="21"/>
          <w:szCs w:val="21"/>
        </w:rPr>
        <w:t>）。</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A</w:t>
      </w:r>
      <w:r>
        <w:rPr>
          <w:rFonts w:ascii="Times New Roman" w:hAnsi="宋体" w:eastAsia="宋体"/>
          <w:b w:val="0"/>
          <w:sz w:val="21"/>
          <w:szCs w:val="21"/>
        </w:rPr>
        <w:t>．</w:t>
      </w:r>
      <w:r>
        <w:rPr>
          <w:rFonts w:ascii="Times New Roman" w:hAnsi="Times New Roman" w:eastAsia="宋体"/>
          <w:b w:val="0"/>
          <w:sz w:val="21"/>
          <w:szCs w:val="21"/>
        </w:rPr>
        <w:t>5</w:t>
      </w:r>
      <w:r>
        <w:rPr>
          <w:rFonts w:ascii="Times New Roman" w:hAnsi="宋体" w:eastAsia="宋体"/>
          <w:b w:val="0"/>
          <w:sz w:val="21"/>
          <w:szCs w:val="21"/>
        </w:rPr>
        <w:t>万元以上</w:t>
      </w:r>
      <w:r>
        <w:rPr>
          <w:rFonts w:ascii="Times New Roman" w:hAnsi="Times New Roman" w:eastAsia="宋体"/>
          <w:b w:val="0"/>
          <w:sz w:val="21"/>
          <w:szCs w:val="21"/>
        </w:rPr>
        <w:t>20</w:t>
      </w:r>
      <w:r>
        <w:rPr>
          <w:rFonts w:ascii="Times New Roman" w:hAnsi="宋体" w:eastAsia="宋体"/>
          <w:b w:val="0"/>
          <w:sz w:val="21"/>
          <w:szCs w:val="21"/>
        </w:rPr>
        <w:t>万元以下</w:t>
      </w:r>
      <w:r>
        <w:rPr>
          <w:rFonts w:ascii="Times New Roman" w:hAnsi="Times New Roman" w:eastAsia="宋体"/>
          <w:b w:val="0"/>
          <w:sz w:val="21"/>
          <w:szCs w:val="21"/>
        </w:rPr>
        <w:t xml:space="preserve">                   B</w:t>
      </w:r>
      <w:r>
        <w:rPr>
          <w:rFonts w:ascii="Times New Roman" w:hAnsi="宋体" w:eastAsia="宋体"/>
          <w:b w:val="0"/>
          <w:sz w:val="21"/>
          <w:szCs w:val="21"/>
        </w:rPr>
        <w:t>．</w:t>
      </w:r>
      <w:r>
        <w:rPr>
          <w:rFonts w:ascii="Times New Roman" w:hAnsi="Times New Roman" w:eastAsia="宋体"/>
          <w:b w:val="0"/>
          <w:sz w:val="21"/>
          <w:szCs w:val="21"/>
        </w:rPr>
        <w:t>1</w:t>
      </w:r>
      <w:r>
        <w:rPr>
          <w:rFonts w:ascii="Times New Roman" w:hAnsi="宋体" w:eastAsia="宋体"/>
          <w:b w:val="0"/>
          <w:sz w:val="21"/>
          <w:szCs w:val="21"/>
        </w:rPr>
        <w:t>万元以上</w:t>
      </w:r>
      <w:r>
        <w:rPr>
          <w:rFonts w:ascii="Times New Roman" w:hAnsi="Times New Roman" w:eastAsia="宋体"/>
          <w:b w:val="0"/>
          <w:sz w:val="21"/>
          <w:szCs w:val="21"/>
        </w:rPr>
        <w:t>20</w:t>
      </w:r>
      <w:r>
        <w:rPr>
          <w:rFonts w:ascii="Times New Roman" w:hAnsi="宋体" w:eastAsia="宋体"/>
          <w:b w:val="0"/>
          <w:sz w:val="21"/>
          <w:szCs w:val="21"/>
        </w:rPr>
        <w:t>万元以下</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C</w:t>
      </w:r>
      <w:r>
        <w:rPr>
          <w:rFonts w:ascii="Times New Roman" w:hAnsi="宋体" w:eastAsia="宋体"/>
          <w:b w:val="0"/>
          <w:sz w:val="21"/>
          <w:szCs w:val="21"/>
        </w:rPr>
        <w:t>．</w:t>
      </w:r>
      <w:r>
        <w:rPr>
          <w:rFonts w:ascii="Times New Roman" w:hAnsi="Times New Roman" w:eastAsia="宋体"/>
          <w:b w:val="0"/>
          <w:sz w:val="21"/>
          <w:szCs w:val="21"/>
        </w:rPr>
        <w:t>1</w:t>
      </w:r>
      <w:r>
        <w:rPr>
          <w:rFonts w:ascii="Times New Roman" w:hAnsi="宋体" w:eastAsia="宋体"/>
          <w:b w:val="0"/>
          <w:sz w:val="21"/>
          <w:szCs w:val="21"/>
        </w:rPr>
        <w:t>万元以上</w:t>
      </w:r>
      <w:r>
        <w:rPr>
          <w:rFonts w:ascii="Times New Roman" w:hAnsi="Times New Roman" w:eastAsia="宋体"/>
          <w:b w:val="0"/>
          <w:sz w:val="21"/>
          <w:szCs w:val="21"/>
        </w:rPr>
        <w:t>10</w:t>
      </w:r>
      <w:r>
        <w:rPr>
          <w:rFonts w:ascii="Times New Roman" w:hAnsi="宋体" w:eastAsia="宋体"/>
          <w:b w:val="0"/>
          <w:sz w:val="21"/>
          <w:szCs w:val="21"/>
        </w:rPr>
        <w:t>万元以下</w:t>
      </w:r>
      <w:r>
        <w:rPr>
          <w:rFonts w:ascii="Times New Roman" w:hAnsi="Times New Roman" w:eastAsia="宋体"/>
          <w:b w:val="0"/>
          <w:sz w:val="21"/>
          <w:szCs w:val="21"/>
        </w:rPr>
        <w:t xml:space="preserve">                   D</w:t>
      </w:r>
      <w:r>
        <w:rPr>
          <w:rFonts w:ascii="Times New Roman" w:hAnsi="宋体" w:eastAsia="宋体"/>
          <w:b w:val="0"/>
          <w:sz w:val="21"/>
          <w:szCs w:val="21"/>
        </w:rPr>
        <w:t>．</w:t>
      </w:r>
      <w:r>
        <w:rPr>
          <w:rFonts w:ascii="Times New Roman" w:hAnsi="Times New Roman" w:eastAsia="宋体"/>
          <w:b w:val="0"/>
          <w:sz w:val="21"/>
          <w:szCs w:val="21"/>
        </w:rPr>
        <w:t>5</w:t>
      </w:r>
      <w:r>
        <w:rPr>
          <w:rFonts w:ascii="Times New Roman" w:hAnsi="宋体" w:eastAsia="宋体"/>
          <w:b w:val="0"/>
          <w:sz w:val="21"/>
          <w:szCs w:val="21"/>
        </w:rPr>
        <w:t>万元以上</w:t>
      </w:r>
      <w:r>
        <w:rPr>
          <w:rFonts w:ascii="Times New Roman" w:hAnsi="Times New Roman" w:eastAsia="宋体"/>
          <w:b w:val="0"/>
          <w:sz w:val="21"/>
          <w:szCs w:val="21"/>
        </w:rPr>
        <w:t>10</w:t>
      </w:r>
      <w:r>
        <w:rPr>
          <w:rFonts w:ascii="Times New Roman" w:hAnsi="宋体" w:eastAsia="宋体"/>
          <w:b w:val="0"/>
          <w:sz w:val="21"/>
          <w:szCs w:val="21"/>
        </w:rPr>
        <w:t>万元以下</w:t>
      </w:r>
      <w:r>
        <w:rPr>
          <w:rFonts w:ascii="Times New Roman" w:hAnsi="Times New Roman" w:eastAsia="宋体"/>
          <w:b w:val="0"/>
          <w:sz w:val="21"/>
          <w:szCs w:val="21"/>
        </w:rPr>
        <w:t xml:space="preserve"> </w:t>
      </w:r>
    </w:p>
    <w:p>
      <w:pPr>
        <w:pStyle w:val="7"/>
        <w:spacing w:line="360" w:lineRule="auto"/>
        <w:rPr>
          <w:rFonts w:ascii="Times New Roman" w:hAnsi="Times New Roman" w:eastAsia="宋体"/>
          <w:b w:val="0"/>
          <w:sz w:val="21"/>
          <w:szCs w:val="21"/>
        </w:rPr>
      </w:pPr>
      <w:r>
        <w:rPr>
          <w:rFonts w:hint="eastAsia" w:ascii="Times New Roman" w:eastAsia="宋体"/>
          <w:b w:val="0"/>
          <w:sz w:val="21"/>
          <w:szCs w:val="21"/>
          <w:lang w:val="en-US" w:eastAsia="zh-CN"/>
        </w:rPr>
        <w:t>20</w:t>
      </w:r>
      <w:r>
        <w:rPr>
          <w:rFonts w:ascii="Times New Roman" w:hAnsi="宋体" w:eastAsia="宋体"/>
          <w:b w:val="0"/>
          <w:sz w:val="21"/>
          <w:szCs w:val="21"/>
        </w:rPr>
        <w:t>、下列情形中，用人单位可以采用预告解雇方式解除劳动合同的是（</w:t>
      </w:r>
      <w:r>
        <w:rPr>
          <w:rFonts w:ascii="Times New Roman" w:hAnsi="Times New Roman" w:eastAsia="宋体"/>
          <w:b w:val="0"/>
          <w:sz w:val="21"/>
          <w:szCs w:val="21"/>
        </w:rPr>
        <w:t xml:space="preserve">      </w:t>
      </w:r>
      <w:r>
        <w:rPr>
          <w:rFonts w:ascii="Times New Roman" w:hAnsi="宋体" w:eastAsia="宋体"/>
          <w:b w:val="0"/>
          <w:sz w:val="21"/>
          <w:szCs w:val="21"/>
        </w:rPr>
        <w:t>）。</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A</w:t>
      </w:r>
      <w:r>
        <w:rPr>
          <w:rFonts w:ascii="Times New Roman" w:hAnsi="宋体" w:eastAsia="宋体"/>
          <w:b w:val="0"/>
          <w:sz w:val="21"/>
          <w:szCs w:val="21"/>
        </w:rPr>
        <w:t>．劳动者甲非因工负伤，已过规定的医疗期</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B</w:t>
      </w:r>
      <w:r>
        <w:rPr>
          <w:rFonts w:ascii="Times New Roman" w:hAnsi="宋体" w:eastAsia="宋体"/>
          <w:b w:val="0"/>
          <w:sz w:val="21"/>
          <w:szCs w:val="21"/>
        </w:rPr>
        <w:t>．劳动者乙在本单位患职业病</w:t>
      </w:r>
    </w:p>
    <w:p>
      <w:pPr>
        <w:pStyle w:val="7"/>
        <w:spacing w:line="360" w:lineRule="auto"/>
        <w:rPr>
          <w:rFonts w:ascii="Times New Roman" w:hAnsi="Times New Roman" w:eastAsia="宋体"/>
          <w:b w:val="0"/>
          <w:sz w:val="21"/>
          <w:szCs w:val="21"/>
        </w:rPr>
      </w:pPr>
      <w:r>
        <w:rPr>
          <w:rFonts w:ascii="Times New Roman" w:hAnsi="Times New Roman" w:eastAsia="宋体"/>
          <w:b w:val="0"/>
          <w:sz w:val="21"/>
          <w:szCs w:val="21"/>
        </w:rPr>
        <w:t>C</w:t>
      </w:r>
      <w:r>
        <w:rPr>
          <w:rFonts w:ascii="Times New Roman" w:hAnsi="宋体" w:eastAsia="宋体"/>
          <w:b w:val="0"/>
          <w:sz w:val="21"/>
          <w:szCs w:val="21"/>
        </w:rPr>
        <w:t>．劳动者丙在哺乳期</w:t>
      </w:r>
    </w:p>
    <w:p>
      <w:pPr>
        <w:pStyle w:val="7"/>
        <w:spacing w:line="360" w:lineRule="auto"/>
        <w:rPr>
          <w:rFonts w:hint="eastAsia" w:ascii="宋体" w:hAnsi="宋体" w:eastAsia="宋体" w:cs="宋体"/>
          <w:b w:val="0"/>
          <w:bCs/>
          <w:sz w:val="21"/>
          <w:szCs w:val="21"/>
          <w:lang w:val="en-US" w:eastAsia="zh-CN"/>
        </w:rPr>
      </w:pPr>
      <w:r>
        <w:rPr>
          <w:rFonts w:ascii="Times New Roman" w:hAnsi="Times New Roman" w:eastAsia="宋体"/>
          <w:b w:val="0"/>
          <w:sz w:val="21"/>
          <w:szCs w:val="21"/>
        </w:rPr>
        <w:t>D</w:t>
      </w:r>
      <w:r>
        <w:rPr>
          <w:rFonts w:ascii="Times New Roman" w:hAnsi="宋体" w:eastAsia="宋体"/>
          <w:b w:val="0"/>
          <w:sz w:val="21"/>
          <w:szCs w:val="21"/>
        </w:rPr>
        <w:t>．劳动者丁在本单位连续工作</w:t>
      </w:r>
      <w:r>
        <w:rPr>
          <w:rFonts w:ascii="Times New Roman" w:hAnsi="Times New Roman" w:eastAsia="宋体"/>
          <w:b w:val="0"/>
          <w:sz w:val="21"/>
          <w:szCs w:val="21"/>
        </w:rPr>
        <w:t>15</w:t>
      </w:r>
      <w:r>
        <w:rPr>
          <w:rFonts w:ascii="Times New Roman" w:hAnsi="宋体" w:eastAsia="宋体"/>
          <w:b w:val="0"/>
          <w:sz w:val="21"/>
          <w:szCs w:val="21"/>
        </w:rPr>
        <w:t>年，且距离法定退休年龄还有</w:t>
      </w:r>
      <w:r>
        <w:rPr>
          <w:rFonts w:ascii="Times New Roman" w:hAnsi="Times New Roman" w:eastAsia="宋体"/>
          <w:b w:val="0"/>
          <w:sz w:val="21"/>
          <w:szCs w:val="21"/>
        </w:rPr>
        <w:t>4</w:t>
      </w:r>
      <w:r>
        <w:rPr>
          <w:rFonts w:ascii="Times New Roman" w:hAnsi="宋体" w:eastAsia="宋体"/>
          <w:b w:val="0"/>
          <w:sz w:val="21"/>
          <w:szCs w:val="21"/>
        </w:rPr>
        <w:t>年</w:t>
      </w:r>
      <w:r>
        <w:rPr>
          <w:rFonts w:hint="eastAsia" w:ascii="宋体" w:hAnsi="宋体" w:eastAsia="宋体" w:cs="宋体"/>
          <w:sz w:val="21"/>
          <w:szCs w:val="21"/>
        </w:rPr>
        <w:br w:type="textWrapping"/>
      </w:r>
      <w:r>
        <w:rPr>
          <w:rFonts w:hint="eastAsia" w:ascii="宋体" w:hAnsi="宋体" w:eastAsia="宋体" w:cs="宋体"/>
          <w:b w:val="0"/>
          <w:bCs/>
          <w:sz w:val="21"/>
          <w:szCs w:val="21"/>
        </w:rPr>
        <w:t>二、名词解释题：</w:t>
      </w:r>
      <w:r>
        <w:rPr>
          <w:rFonts w:hint="eastAsia" w:ascii="宋体" w:hAnsi="宋体" w:eastAsia="宋体" w:cs="宋体"/>
          <w:b w:val="0"/>
          <w:bCs/>
          <w:sz w:val="21"/>
          <w:szCs w:val="21"/>
          <w:lang w:val="en-US" w:eastAsia="zh-CN"/>
        </w:rPr>
        <w:t>(本大题共5小题，每小题3分，共15分）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1．同时履行抗辩权：</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股份有限公司：</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合同：</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定金</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企业破产：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cs="宋体"/>
          <w:sz w:val="21"/>
          <w:szCs w:val="21"/>
          <w:lang w:val="en-US" w:eastAsia="zh-CN"/>
        </w:rPr>
        <w:t>6</w:t>
      </w:r>
      <w:r>
        <w:rPr>
          <w:rFonts w:hint="eastAsia" w:ascii="宋体" w:hAnsi="宋体" w:eastAsia="宋体" w:cs="宋体"/>
          <w:sz w:val="21"/>
          <w:szCs w:val="21"/>
        </w:rPr>
        <w:t>．关联关系</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cs="宋体"/>
          <w:sz w:val="21"/>
          <w:szCs w:val="21"/>
          <w:lang w:val="en-US" w:eastAsia="zh-CN"/>
        </w:rPr>
        <w:t>7</w:t>
      </w:r>
      <w:r>
        <w:rPr>
          <w:rFonts w:hint="eastAsia" w:ascii="宋体" w:hAnsi="宋体" w:eastAsia="宋体" w:cs="宋体"/>
          <w:sz w:val="21"/>
          <w:szCs w:val="21"/>
        </w:rPr>
        <w:t>．债权人的取回权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cs="宋体"/>
          <w:sz w:val="21"/>
          <w:szCs w:val="21"/>
          <w:lang w:val="en-US" w:eastAsia="zh-CN"/>
        </w:rPr>
        <w:t>8</w:t>
      </w:r>
      <w:r>
        <w:rPr>
          <w:rFonts w:hint="eastAsia" w:ascii="宋体" w:hAnsi="宋体" w:eastAsia="宋体" w:cs="宋体"/>
          <w:sz w:val="21"/>
          <w:szCs w:val="21"/>
        </w:rPr>
        <w:t>．不安抗辩权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cs="宋体"/>
          <w:sz w:val="21"/>
          <w:szCs w:val="21"/>
          <w:lang w:val="en-US" w:eastAsia="zh-CN"/>
        </w:rPr>
        <w:t>9</w:t>
      </w:r>
      <w:r>
        <w:rPr>
          <w:rFonts w:hint="eastAsia" w:ascii="宋体" w:hAnsi="宋体" w:eastAsia="宋体" w:cs="宋体"/>
          <w:sz w:val="21"/>
          <w:szCs w:val="21"/>
        </w:rPr>
        <w:t>．民事诉讼</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cs="宋体"/>
          <w:sz w:val="21"/>
          <w:szCs w:val="21"/>
          <w:lang w:val="en-US" w:eastAsia="zh-CN"/>
        </w:rPr>
        <w:t>10</w:t>
      </w:r>
      <w:r>
        <w:rPr>
          <w:rFonts w:hint="eastAsia" w:ascii="宋体" w:hAnsi="宋体" w:eastAsia="宋体" w:cs="宋体"/>
          <w:sz w:val="21"/>
          <w:szCs w:val="21"/>
        </w:rPr>
        <w:t>．债权人的代位权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三、简答题</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本大题共4小题，每小题8分，共32分。</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1.简述专利权的客体。</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 简述税法制度的原则。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 因产品存在缺陷造成人身、他人财产损害的，应由谁承担赔偿责任？</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4. 简述我国全民所有制企业的性质和地位。</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、股份有限公司的发起人应当承担哪些责任？</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cs="宋体"/>
          <w:sz w:val="21"/>
          <w:szCs w:val="21"/>
          <w:lang w:val="en-US" w:eastAsia="zh-CN"/>
        </w:rPr>
        <w:t>6</w:t>
      </w:r>
      <w:r>
        <w:rPr>
          <w:rFonts w:hint="eastAsia" w:ascii="宋体" w:hAnsi="宋体" w:eastAsia="宋体" w:cs="宋体"/>
          <w:sz w:val="21"/>
          <w:szCs w:val="21"/>
        </w:rPr>
        <w:t>、上市公司存在哪些情形之一的，不得公开发行证券？</w:t>
      </w:r>
    </w:p>
    <w:p>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rPr>
        <w:t>论述题 (</w:t>
      </w:r>
      <w:r>
        <w:rPr>
          <w:rFonts w:hint="eastAsia" w:ascii="宋体" w:hAnsi="宋体" w:eastAsia="宋体" w:cs="宋体"/>
          <w:sz w:val="21"/>
          <w:szCs w:val="21"/>
          <w:lang w:val="en-US" w:eastAsia="zh-CN"/>
        </w:rPr>
        <w:t>本大题共1小题，共9</w:t>
      </w:r>
      <w:r>
        <w:rPr>
          <w:rFonts w:hint="eastAsia" w:ascii="宋体" w:hAnsi="宋体" w:eastAsia="宋体" w:cs="宋体"/>
          <w:sz w:val="21"/>
          <w:szCs w:val="21"/>
        </w:rPr>
        <w:t>分)</w:t>
      </w:r>
      <w:r>
        <w:rPr>
          <w:rFonts w:hint="eastAsia" w:ascii="宋体" w:hAnsi="宋体" w:eastAsia="宋体" w:cs="宋体"/>
          <w:sz w:val="21"/>
          <w:szCs w:val="21"/>
        </w:rPr>
        <w:br w:type="textWrapping"/>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1.</w:t>
      </w:r>
      <w:r>
        <w:rPr>
          <w:rFonts w:hint="eastAsia" w:ascii="宋体" w:hAnsi="宋体" w:eastAsia="宋体" w:cs="宋体"/>
          <w:sz w:val="21"/>
          <w:szCs w:val="21"/>
        </w:rPr>
        <w:t>试述债权与所有权的概念及其区别。</w:t>
      </w:r>
      <w:r>
        <w:rPr>
          <w:rFonts w:hint="eastAsia" w:ascii="宋体" w:hAnsi="宋体" w:eastAsia="宋体" w:cs="宋体"/>
          <w:sz w:val="21"/>
          <w:szCs w:val="21"/>
        </w:rPr>
        <w:br w:type="textWrapping"/>
      </w:r>
      <w:r>
        <w:rPr>
          <w:rFonts w:hint="eastAsia" w:ascii="宋体" w:hAnsi="宋体" w:cs="宋体"/>
          <w:sz w:val="21"/>
          <w:szCs w:val="21"/>
          <w:lang w:val="en-US" w:eastAsia="zh-CN"/>
        </w:rPr>
        <w:t xml:space="preserve"> </w:t>
      </w:r>
      <w:r>
        <w:rPr>
          <w:rFonts w:ascii="Times New Roman" w:hAnsi="Times New Roman"/>
          <w:szCs w:val="21"/>
        </w:rPr>
        <w:t>2</w:t>
      </w:r>
      <w:r>
        <w:rPr>
          <w:rFonts w:ascii="Times New Roman" w:hAnsi="宋体"/>
          <w:szCs w:val="21"/>
        </w:rPr>
        <w:t>、不得担任公司的董事、监事、高级管理人员的情形有哪些？</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六</w:t>
      </w:r>
      <w:r>
        <w:rPr>
          <w:rFonts w:hint="eastAsia" w:ascii="宋体" w:hAnsi="宋体" w:eastAsia="宋体" w:cs="宋体"/>
          <w:sz w:val="21"/>
          <w:szCs w:val="21"/>
        </w:rPr>
        <w:t>、案例分析</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本大题共2小题，每题10分，共20分。</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原告浙江省某机床厂 (以下称原告) 和被告鞍山市某钟表厂 (以下称被告) 于1996年11月签订了一份购销 (买卖) 专用设备的合同。合同规定，原告生产Z?28全自动模钻床供给被告，总价款165,000元，1997年5月交货；因货物为专用设备，被告需先行支付总价款的20﹪作为定金。合同签订后，被告未按规定支付定金，原告为履约按期生产完毕。同年5月10日，原告将货物如期运给被告。办完托运手续后，便向被告所在工商银行托收货款。同年5月12日，被告以“产品质量不合格”拒付货款，原告认为是无理拒付，再次托收货款，被告以“未给付定金，合同不能生效”及“已通知合同作废”等为由再次拒付，双方多次协商未成，原告向法院起诉，要求被告改造合同并赔偿损失。</w:t>
      </w:r>
      <w:r>
        <w:rPr>
          <w:rFonts w:hint="eastAsia" w:ascii="宋体" w:hAnsi="宋体" w:eastAsia="宋体" w:cs="宋体"/>
          <w:sz w:val="21"/>
          <w:szCs w:val="21"/>
        </w:rPr>
        <w:br w:type="textWrapping"/>
      </w:r>
      <w:r>
        <w:rPr>
          <w:rFonts w:hint="eastAsia" w:ascii="宋体" w:hAnsi="宋体" w:eastAsia="宋体" w:cs="宋体"/>
          <w:sz w:val="21"/>
          <w:szCs w:val="21"/>
        </w:rPr>
        <w:t>经查：(1) 双方签订的购销 (买卖) 合同纯系自愿，内容合法，手续齐全；(2) 原告发运的产品经检验完全合格。该产品5月16日才运抵被告所在地，被告于5月12日即以“产品质量不合格”为由拒付，纯系编造；(3) 双方来往电、信，并未提到终止合同，只是被告曾让人捎口信说，因转产需对产品进行改制，但该口信并未捎到。</w:t>
      </w:r>
      <w:r>
        <w:rPr>
          <w:rFonts w:hint="eastAsia" w:ascii="宋体" w:hAnsi="宋体" w:eastAsia="宋体" w:cs="宋体"/>
          <w:sz w:val="21"/>
          <w:szCs w:val="21"/>
        </w:rPr>
        <w:br w:type="textWrapping"/>
      </w:r>
      <w:r>
        <w:rPr>
          <w:rFonts w:hint="eastAsia" w:ascii="宋体" w:hAnsi="宋体" w:eastAsia="宋体" w:cs="宋体"/>
          <w:sz w:val="21"/>
          <w:szCs w:val="21"/>
        </w:rPr>
        <w:t>问：(1) 该合同是否有效？</w:t>
      </w:r>
      <w:r>
        <w:rPr>
          <w:rFonts w:hint="eastAsia" w:ascii="宋体" w:hAnsi="宋体" w:eastAsia="宋体" w:cs="宋体"/>
          <w:sz w:val="21"/>
          <w:szCs w:val="21"/>
        </w:rPr>
        <w:br w:type="textWrapping"/>
      </w:r>
      <w:r>
        <w:rPr>
          <w:rFonts w:hint="eastAsia" w:ascii="宋体" w:hAnsi="宋体" w:eastAsia="宋体" w:cs="宋体"/>
          <w:sz w:val="21"/>
          <w:szCs w:val="21"/>
        </w:rPr>
        <w:t>(2) 该合同是否已解除？</w:t>
      </w:r>
      <w:r>
        <w:rPr>
          <w:rFonts w:hint="eastAsia" w:ascii="宋体" w:hAnsi="宋体" w:eastAsia="宋体" w:cs="宋体"/>
          <w:sz w:val="21"/>
          <w:szCs w:val="21"/>
        </w:rPr>
        <w:br w:type="textWrapping"/>
      </w:r>
      <w:r>
        <w:rPr>
          <w:rFonts w:hint="eastAsia" w:ascii="宋体" w:hAnsi="宋体" w:eastAsia="宋体" w:cs="宋体"/>
          <w:sz w:val="21"/>
          <w:szCs w:val="21"/>
        </w:rPr>
        <w:t>(3) 本案的责任应如何划分？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 某市城市合作银行是一家规模不大的商业银行，为增强经济实力，拓展业务范围，于1995年9月动用本行500万元资金投资市内一家民营高科技有限责任公司。1996年11月又决定投资2000万元发展该市的“安居工程”，进行房地产业务。由于该银行业务的拓展，进行投资业务，投资回报率高、利税明显增长。但是，中国人民银行某分行对该城市合作银行的上述两项业务活动进行了查处。</w:t>
      </w:r>
      <w:r>
        <w:rPr>
          <w:rFonts w:hint="eastAsia" w:ascii="宋体" w:hAnsi="宋体" w:eastAsia="宋体" w:cs="宋体"/>
          <w:sz w:val="21"/>
          <w:szCs w:val="21"/>
        </w:rPr>
        <w:br w:type="textWrapping"/>
      </w:r>
      <w:r>
        <w:rPr>
          <w:rFonts w:hint="eastAsia" w:ascii="宋体" w:hAnsi="宋体" w:eastAsia="宋体" w:cs="宋体"/>
          <w:sz w:val="21"/>
          <w:szCs w:val="21"/>
        </w:rPr>
        <w:t>问：(1) 该城市合作银行为什么会受到中国人民银行的查处？</w:t>
      </w:r>
      <w:r>
        <w:rPr>
          <w:rFonts w:hint="eastAsia" w:ascii="宋体" w:hAnsi="宋体" w:eastAsia="宋体" w:cs="宋体"/>
          <w:sz w:val="21"/>
          <w:szCs w:val="21"/>
        </w:rPr>
        <w:br w:type="textWrapping"/>
      </w:r>
      <w:r>
        <w:rPr>
          <w:rFonts w:hint="eastAsia" w:ascii="宋体" w:hAnsi="宋体" w:eastAsia="宋体" w:cs="宋体"/>
          <w:sz w:val="21"/>
          <w:szCs w:val="21"/>
        </w:rPr>
        <w:t>(2) 中国人民银行对该城市合作银行可以作出什么样的处理？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cs="宋体"/>
          <w:bCs/>
          <w:sz w:val="21"/>
          <w:szCs w:val="21"/>
          <w:u w:val="none"/>
          <w:lang w:val="en-US" w:eastAsia="zh-CN"/>
        </w:rPr>
        <w:t>19级</w:t>
      </w:r>
      <w:r>
        <w:rPr>
          <w:rFonts w:hint="eastAsia" w:ascii="宋体" w:hAnsi="宋体" w:eastAsia="宋体" w:cs="宋体"/>
          <w:bCs/>
          <w:sz w:val="21"/>
          <w:szCs w:val="21"/>
          <w:u w:val="none"/>
          <w:lang w:val="en-US" w:eastAsia="zh-CN"/>
        </w:rPr>
        <w:t>经济法</w:t>
      </w:r>
      <w:r>
        <w:rPr>
          <w:rFonts w:hint="eastAsia" w:ascii="宋体" w:hAnsi="宋体" w:cs="宋体"/>
          <w:bCs/>
          <w:sz w:val="21"/>
          <w:szCs w:val="21"/>
          <w:u w:val="none"/>
          <w:lang w:val="en-US" w:eastAsia="zh-CN"/>
        </w:rPr>
        <w:t>（高起专）复习资料</w:t>
      </w:r>
      <w:r>
        <w:rPr>
          <w:rFonts w:hint="eastAsia" w:ascii="宋体" w:hAnsi="宋体" w:eastAsia="宋体" w:cs="宋体"/>
          <w:bCs/>
          <w:sz w:val="21"/>
          <w:szCs w:val="21"/>
          <w:u w:val="none"/>
        </w:rPr>
        <w:t xml:space="preserve"> </w:t>
      </w:r>
      <w:r>
        <w:rPr>
          <w:rFonts w:hint="eastAsia" w:ascii="宋体" w:hAnsi="宋体" w:eastAsia="宋体" w:cs="宋体"/>
          <w:sz w:val="21"/>
          <w:szCs w:val="21"/>
          <w:lang w:val="en-US" w:eastAsia="zh-CN"/>
        </w:rPr>
        <w:t>参考答案</w:t>
      </w:r>
    </w:p>
    <w:p>
      <w:pPr>
        <w:spacing w:line="360" w:lineRule="auto"/>
        <w:rPr>
          <w:rFonts w:hint="eastAsia" w:ascii="宋体" w:hAnsi="宋体" w:eastAsia="宋体" w:cs="宋体"/>
          <w:b/>
          <w:sz w:val="21"/>
          <w:szCs w:val="21"/>
        </w:rPr>
      </w:pPr>
      <w:r>
        <w:rPr>
          <w:rFonts w:hint="eastAsia" w:ascii="宋体" w:hAnsi="宋体" w:cs="宋体"/>
          <w:b/>
          <w:sz w:val="21"/>
          <w:szCs w:val="21"/>
          <w:lang w:val="en-US" w:eastAsia="zh-CN"/>
        </w:rPr>
        <w:t>一、</w:t>
      </w:r>
      <w:r>
        <w:rPr>
          <w:rFonts w:hint="eastAsia" w:ascii="宋体" w:hAnsi="宋体" w:eastAsia="宋体" w:cs="宋体"/>
          <w:b/>
          <w:sz w:val="21"/>
          <w:szCs w:val="21"/>
        </w:rPr>
        <w:t>单项选择题</w:t>
      </w:r>
    </w:p>
    <w:p>
      <w:pPr>
        <w:spacing w:line="360" w:lineRule="auto"/>
        <w:rPr>
          <w:rFonts w:ascii="Times New Roman" w:hAnsi="Times New Roman"/>
          <w:szCs w:val="21"/>
        </w:rPr>
      </w:pPr>
      <w:r>
        <w:rPr>
          <w:rFonts w:hint="eastAsia" w:ascii="宋体" w:hAnsi="宋体" w:eastAsia="宋体" w:cs="宋体"/>
          <w:b/>
          <w:sz w:val="21"/>
          <w:szCs w:val="21"/>
          <w:lang w:val="en-US" w:eastAsia="zh-CN"/>
        </w:rPr>
        <w:t>1A  2D 3B 4</w:t>
      </w:r>
      <w:r>
        <w:rPr>
          <w:rFonts w:hint="eastAsia" w:ascii="宋体" w:hAnsi="宋体" w:cs="宋体"/>
          <w:b/>
          <w:sz w:val="21"/>
          <w:szCs w:val="21"/>
          <w:lang w:val="en-US" w:eastAsia="zh-CN"/>
        </w:rPr>
        <w:t xml:space="preserve"> </w:t>
      </w:r>
      <w:r>
        <w:rPr>
          <w:rFonts w:hint="eastAsia" w:ascii="宋体" w:hAnsi="宋体" w:eastAsia="宋体" w:cs="宋体"/>
          <w:b/>
          <w:sz w:val="21"/>
          <w:szCs w:val="21"/>
          <w:lang w:val="en-US" w:eastAsia="zh-CN"/>
        </w:rPr>
        <w:t xml:space="preserve"> 5D 6</w:t>
      </w:r>
      <w:r>
        <w:rPr>
          <w:rFonts w:hint="eastAsia" w:ascii="宋体" w:hAnsi="宋体" w:cs="宋体"/>
          <w:b/>
          <w:sz w:val="21"/>
          <w:szCs w:val="21"/>
          <w:lang w:val="en-US" w:eastAsia="zh-CN"/>
        </w:rPr>
        <w:t xml:space="preserve"> </w:t>
      </w:r>
      <w:r>
        <w:rPr>
          <w:rFonts w:hint="eastAsia" w:ascii="宋体" w:hAnsi="宋体" w:eastAsia="宋体" w:cs="宋体"/>
          <w:b/>
          <w:sz w:val="21"/>
          <w:szCs w:val="21"/>
          <w:lang w:val="en-US" w:eastAsia="zh-CN"/>
        </w:rPr>
        <w:t xml:space="preserve">  7</w:t>
      </w:r>
      <w:r>
        <w:rPr>
          <w:rFonts w:hint="eastAsia" w:ascii="宋体" w:hAnsi="宋体" w:cs="宋体"/>
          <w:b/>
          <w:sz w:val="21"/>
          <w:szCs w:val="21"/>
          <w:lang w:val="en-US" w:eastAsia="zh-CN"/>
        </w:rPr>
        <w:t xml:space="preserve"> </w:t>
      </w:r>
      <w:r>
        <w:rPr>
          <w:rFonts w:hint="eastAsia" w:ascii="宋体" w:hAnsi="宋体" w:eastAsia="宋体" w:cs="宋体"/>
          <w:b/>
          <w:sz w:val="21"/>
          <w:szCs w:val="21"/>
          <w:lang w:val="en-US" w:eastAsia="zh-CN"/>
        </w:rPr>
        <w:t xml:space="preserve"> </w:t>
      </w:r>
      <w:r>
        <w:rPr>
          <w:rFonts w:hint="eastAsia" w:ascii="宋体" w:hAnsi="宋体" w:cs="宋体"/>
          <w:b/>
          <w:sz w:val="21"/>
          <w:szCs w:val="21"/>
          <w:lang w:val="en-US" w:eastAsia="zh-CN"/>
        </w:rPr>
        <w:t xml:space="preserve"> 8 </w:t>
      </w:r>
      <w:bookmarkStart w:id="0" w:name="_GoBack"/>
      <w:bookmarkEnd w:id="0"/>
      <w:r>
        <w:rPr>
          <w:rFonts w:hint="eastAsia" w:ascii="宋体" w:hAnsi="宋体" w:eastAsia="宋体" w:cs="宋体"/>
          <w:b/>
          <w:sz w:val="21"/>
          <w:szCs w:val="21"/>
          <w:lang w:val="en-US" w:eastAsia="zh-CN"/>
        </w:rPr>
        <w:t xml:space="preserve"> 9C 10</w:t>
      </w:r>
      <w:r>
        <w:rPr>
          <w:rFonts w:hint="eastAsia" w:ascii="宋体" w:hAnsi="宋体" w:cs="宋体"/>
          <w:b/>
          <w:sz w:val="21"/>
          <w:szCs w:val="21"/>
          <w:lang w:val="en-US" w:eastAsia="zh-CN"/>
        </w:rPr>
        <w:t xml:space="preserve"> </w:t>
      </w:r>
      <w:r>
        <w:rPr>
          <w:rFonts w:hint="eastAsia" w:ascii="宋体" w:hAnsi="宋体" w:eastAsia="宋体" w:cs="宋体"/>
          <w:b/>
          <w:sz w:val="21"/>
          <w:szCs w:val="21"/>
          <w:lang w:val="en-US" w:eastAsia="zh-CN"/>
        </w:rPr>
        <w:t xml:space="preserve">  11ACD  12BCD</w:t>
      </w:r>
      <w:r>
        <w:rPr>
          <w:rFonts w:hint="eastAsia" w:ascii="宋体" w:hAnsi="宋体" w:cs="宋体"/>
          <w:b/>
          <w:sz w:val="21"/>
          <w:szCs w:val="21"/>
          <w:lang w:val="en-US" w:eastAsia="zh-CN"/>
        </w:rPr>
        <w:t xml:space="preserve">  </w:t>
      </w:r>
      <w:r>
        <w:rPr>
          <w:rFonts w:hint="eastAsia" w:hAnsi="宋体"/>
          <w:color w:val="000000"/>
          <w:kern w:val="0"/>
          <w:szCs w:val="21"/>
          <w:shd w:val="clear" w:color="auto" w:fill="FFFFFF"/>
          <w:lang w:val="en-US" w:eastAsia="zh-CN"/>
        </w:rPr>
        <w:t>13</w:t>
      </w:r>
      <w:r>
        <w:rPr>
          <w:rFonts w:ascii="Times New Roman" w:hAnsi="Times New Roman"/>
          <w:szCs w:val="21"/>
        </w:rPr>
        <w:t>D</w:t>
      </w:r>
    </w:p>
    <w:p>
      <w:pPr>
        <w:spacing w:line="360" w:lineRule="auto"/>
        <w:rPr>
          <w:rFonts w:hint="default" w:ascii="Times New Roman" w:hAnsi="Times New Roman" w:eastAsia="宋体"/>
          <w:szCs w:val="21"/>
          <w:lang w:val="en-US" w:eastAsia="zh-CN"/>
        </w:rPr>
      </w:pPr>
      <w:r>
        <w:rPr>
          <w:rFonts w:hint="eastAsia"/>
          <w:szCs w:val="21"/>
          <w:lang w:val="en-US" w:eastAsia="zh-CN"/>
        </w:rPr>
        <w:t>14C  15A  16A  17D  18D  19C  20A</w:t>
      </w:r>
    </w:p>
    <w:p>
      <w:pPr>
        <w:numPr>
          <w:ilvl w:val="0"/>
          <w:numId w:val="0"/>
        </w:numPr>
        <w:rPr>
          <w:rFonts w:hint="eastAsia" w:ascii="宋体" w:hAnsi="宋体" w:eastAsia="宋体" w:cs="宋体"/>
          <w:b/>
          <w:sz w:val="21"/>
          <w:szCs w:val="21"/>
        </w:rPr>
      </w:pPr>
    </w:p>
    <w:p>
      <w:pPr>
        <w:rPr>
          <w:rFonts w:hint="eastAsia" w:ascii="宋体" w:hAnsi="宋体" w:eastAsia="宋体" w:cs="宋体"/>
          <w:b/>
          <w:sz w:val="21"/>
          <w:szCs w:val="21"/>
        </w:rPr>
      </w:pPr>
      <w:r>
        <w:rPr>
          <w:rFonts w:hint="eastAsia" w:ascii="宋体" w:hAnsi="宋体" w:eastAsia="宋体" w:cs="宋体"/>
          <w:b/>
          <w:sz w:val="21"/>
          <w:szCs w:val="21"/>
        </w:rPr>
        <w:t>二、名词解释题：</w:t>
      </w:r>
    </w:p>
    <w:p>
      <w:pPr>
        <w:rPr>
          <w:rFonts w:hint="eastAsia" w:ascii="宋体" w:hAnsi="宋体" w:eastAsia="宋体" w:cs="宋体"/>
          <w:sz w:val="21"/>
          <w:szCs w:val="21"/>
        </w:rPr>
      </w:pPr>
      <w:r>
        <w:rPr>
          <w:rFonts w:hint="eastAsia" w:ascii="宋体" w:hAnsi="宋体" w:eastAsia="宋体" w:cs="宋体"/>
          <w:sz w:val="21"/>
          <w:szCs w:val="21"/>
        </w:rPr>
        <w:t>1．同时履行抗辩权：</w:t>
      </w:r>
    </w:p>
    <w:p>
      <w:pPr>
        <w:rPr>
          <w:rFonts w:hint="eastAsia" w:ascii="宋体" w:hAnsi="宋体" w:eastAsia="宋体" w:cs="宋体"/>
          <w:sz w:val="21"/>
          <w:szCs w:val="21"/>
        </w:rPr>
      </w:pPr>
      <w:r>
        <w:rPr>
          <w:rFonts w:hint="eastAsia" w:ascii="宋体" w:hAnsi="宋体" w:eastAsia="宋体" w:cs="宋体"/>
          <w:sz w:val="21"/>
          <w:szCs w:val="21"/>
        </w:rPr>
        <w:t>2．股份有限公司：又称股份公司。是指由一定数额的股东所组成，其注册资本由等额股份构成，并通过发行股票筹集资本，股东以其所持股份为限对公司承担责任，公司以其全部资产对公司的债务承担责任的企业法人。</w:t>
      </w:r>
    </w:p>
    <w:p>
      <w:pPr>
        <w:rPr>
          <w:rFonts w:hint="eastAsia" w:ascii="宋体" w:hAnsi="宋体" w:eastAsia="宋体" w:cs="宋体"/>
          <w:sz w:val="21"/>
          <w:szCs w:val="21"/>
        </w:rPr>
      </w:pPr>
      <w:r>
        <w:rPr>
          <w:rFonts w:hint="eastAsia" w:ascii="宋体" w:hAnsi="宋体" w:eastAsia="宋体" w:cs="宋体"/>
          <w:sz w:val="21"/>
          <w:szCs w:val="21"/>
        </w:rPr>
        <w:t>3．合同：又称契约。是两个或两个以上当事人为了达到一定目的，明确相互之间权利义务关系的协议。</w:t>
      </w:r>
    </w:p>
    <w:p>
      <w:pPr>
        <w:rPr>
          <w:rFonts w:hint="eastAsia" w:ascii="宋体" w:hAnsi="宋体" w:eastAsia="宋体" w:cs="宋体"/>
          <w:sz w:val="21"/>
          <w:szCs w:val="21"/>
        </w:rPr>
      </w:pPr>
      <w:r>
        <w:rPr>
          <w:rFonts w:hint="eastAsia" w:ascii="宋体" w:hAnsi="宋体" w:eastAsia="宋体" w:cs="宋体"/>
          <w:sz w:val="21"/>
          <w:szCs w:val="21"/>
        </w:rPr>
        <w:t>4．定金：是由合同一方当事人预先向对方当事人交付一定的额的货币，以保证债权实现的担保方式。</w:t>
      </w:r>
    </w:p>
    <w:p>
      <w:pPr>
        <w:rPr>
          <w:rFonts w:hint="eastAsia" w:ascii="宋体" w:hAnsi="宋体" w:eastAsia="宋体" w:cs="宋体"/>
          <w:sz w:val="21"/>
          <w:szCs w:val="21"/>
        </w:rPr>
      </w:pPr>
      <w:r>
        <w:rPr>
          <w:rFonts w:hint="eastAsia" w:ascii="宋体" w:hAnsi="宋体" w:eastAsia="宋体" w:cs="宋体"/>
          <w:sz w:val="21"/>
          <w:szCs w:val="21"/>
        </w:rPr>
        <w:t>5．企业破产：指债务人不能以其全部财产清偿到期债务，又未能与债权人达成减免或延还债务的和解协议，经法院审理，强制执行其全部财产，使债权依法公平受偿，其余无力偿还的则予以免除的情况。</w:t>
      </w:r>
    </w:p>
    <w:p>
      <w:pPr>
        <w:spacing w:line="360" w:lineRule="auto"/>
        <w:rPr>
          <w:rFonts w:hint="eastAsia" w:ascii="Times New Roman" w:hAnsi="宋体"/>
          <w:color w:val="000000"/>
          <w:szCs w:val="21"/>
        </w:rPr>
      </w:pPr>
      <w:r>
        <w:rPr>
          <w:rFonts w:hint="eastAsia"/>
          <w:color w:val="000000"/>
          <w:szCs w:val="21"/>
          <w:lang w:val="en-US" w:eastAsia="zh-CN"/>
        </w:rPr>
        <w:t>6</w:t>
      </w:r>
      <w:r>
        <w:rPr>
          <w:rFonts w:ascii="Times New Roman" w:hAnsi="宋体"/>
          <w:color w:val="000000"/>
          <w:szCs w:val="21"/>
        </w:rPr>
        <w:t>．关联关系</w:t>
      </w:r>
    </w:p>
    <w:p>
      <w:pPr>
        <w:spacing w:line="360" w:lineRule="auto"/>
        <w:rPr>
          <w:rFonts w:ascii="Times New Roman" w:hAnsi="Times New Roman"/>
          <w:color w:val="000000"/>
          <w:szCs w:val="21"/>
        </w:rPr>
      </w:pPr>
      <w:r>
        <w:rPr>
          <w:rFonts w:ascii="Times New Roman" w:hAnsi="宋体"/>
          <w:color w:val="000000"/>
          <w:szCs w:val="21"/>
        </w:rPr>
        <w:t>关联关系是指公司控股股东、实际控制人、董事、监事、高级管理人员与其直接或者间接控制的企业之间的关系，以及可能导致公司利益转移的其他关系。</w:t>
      </w:r>
    </w:p>
    <w:p>
      <w:pPr>
        <w:spacing w:line="360" w:lineRule="auto"/>
        <w:rPr>
          <w:rFonts w:hint="eastAsia" w:ascii="Times New Roman" w:hAnsi="宋体"/>
          <w:szCs w:val="21"/>
        </w:rPr>
      </w:pPr>
      <w:r>
        <w:rPr>
          <w:rFonts w:hint="eastAsia"/>
          <w:color w:val="000000"/>
          <w:szCs w:val="21"/>
          <w:lang w:val="en-US" w:eastAsia="zh-CN"/>
        </w:rPr>
        <w:t>7</w:t>
      </w:r>
      <w:r>
        <w:rPr>
          <w:rFonts w:ascii="Times New Roman" w:hAnsi="宋体"/>
          <w:color w:val="000000"/>
          <w:szCs w:val="21"/>
        </w:rPr>
        <w:t>．</w:t>
      </w:r>
      <w:r>
        <w:rPr>
          <w:rFonts w:ascii="Times New Roman" w:hAnsi="宋体"/>
          <w:szCs w:val="21"/>
        </w:rPr>
        <w:t>债权人的取回权</w:t>
      </w:r>
    </w:p>
    <w:p>
      <w:pPr>
        <w:spacing w:line="360" w:lineRule="auto"/>
        <w:rPr>
          <w:rFonts w:ascii="Times New Roman" w:hAnsi="Times New Roman"/>
          <w:color w:val="000000"/>
          <w:szCs w:val="21"/>
        </w:rPr>
      </w:pPr>
      <w:r>
        <w:rPr>
          <w:rFonts w:ascii="Times New Roman" w:hAnsi="宋体"/>
          <w:szCs w:val="21"/>
        </w:rPr>
        <w:t>债权人的取回权是指在破产程序中，对于不属于债务人的财产，其所有权人或其他权利人不依照破产程序，通过管理人将该财产予以取回的权利。</w:t>
      </w:r>
    </w:p>
    <w:p>
      <w:pPr>
        <w:spacing w:line="360" w:lineRule="auto"/>
        <w:rPr>
          <w:rFonts w:hint="eastAsia" w:ascii="Times New Roman" w:hAnsi="宋体"/>
          <w:szCs w:val="21"/>
        </w:rPr>
      </w:pPr>
      <w:r>
        <w:rPr>
          <w:rFonts w:hint="eastAsia"/>
          <w:szCs w:val="21"/>
          <w:lang w:val="en-US" w:eastAsia="zh-CN"/>
        </w:rPr>
        <w:t>8</w:t>
      </w:r>
      <w:r>
        <w:rPr>
          <w:rFonts w:ascii="Times New Roman" w:hAnsi="宋体"/>
          <w:szCs w:val="21"/>
        </w:rPr>
        <w:t>．不安抗辩权</w:t>
      </w:r>
    </w:p>
    <w:p>
      <w:pPr>
        <w:spacing w:line="360" w:lineRule="auto"/>
        <w:rPr>
          <w:rFonts w:ascii="Times New Roman" w:hAnsi="Times New Roman"/>
          <w:szCs w:val="21"/>
        </w:rPr>
      </w:pPr>
      <w:r>
        <w:rPr>
          <w:rFonts w:ascii="Times New Roman" w:hAnsi="宋体"/>
          <w:szCs w:val="21"/>
        </w:rPr>
        <w:t>不安抗辩权又称为拒绝权，指在双务合同中，先履行义务一方在后履行义务一方当事人的财产状况发生恶化而有难以对待给付之虞时，有权要求对方先为对待履行或提供担保，在对方未为对待履行或未提供担保时，有权中止合同而拒绝自己的履行。</w:t>
      </w:r>
    </w:p>
    <w:p>
      <w:pPr>
        <w:spacing w:line="360" w:lineRule="auto"/>
        <w:rPr>
          <w:rFonts w:hint="eastAsia" w:ascii="Times New Roman" w:hAnsi="宋体"/>
          <w:color w:val="000000"/>
          <w:szCs w:val="21"/>
        </w:rPr>
      </w:pPr>
      <w:r>
        <w:rPr>
          <w:rFonts w:hint="eastAsia"/>
          <w:color w:val="000000"/>
          <w:szCs w:val="21"/>
          <w:lang w:val="en-US" w:eastAsia="zh-CN"/>
        </w:rPr>
        <w:t>9</w:t>
      </w:r>
      <w:r>
        <w:rPr>
          <w:rFonts w:ascii="Times New Roman" w:hAnsi="宋体"/>
          <w:color w:val="000000"/>
          <w:szCs w:val="21"/>
        </w:rPr>
        <w:t>．民事诉讼</w:t>
      </w:r>
    </w:p>
    <w:p>
      <w:pPr>
        <w:spacing w:line="360" w:lineRule="auto"/>
        <w:rPr>
          <w:rFonts w:ascii="Times New Roman" w:hAnsi="Times New Roman"/>
          <w:color w:val="000000"/>
          <w:szCs w:val="21"/>
        </w:rPr>
      </w:pPr>
      <w:r>
        <w:rPr>
          <w:rFonts w:ascii="Times New Roman" w:hAnsi="宋体"/>
          <w:color w:val="000000"/>
          <w:szCs w:val="21"/>
        </w:rPr>
        <w:t>民事诉讼是指法院在当事人和其他诉讼参与人的参加下，以审理、判决、执行等方式解决民事纠纷的活动，以及由这些活动产生的各种诉讼关系的总和。</w:t>
      </w:r>
    </w:p>
    <w:p>
      <w:pPr>
        <w:spacing w:line="360" w:lineRule="auto"/>
        <w:rPr>
          <w:rFonts w:ascii="Times New Roman" w:hAnsi="Times New Roman"/>
          <w:color w:val="000000"/>
          <w:szCs w:val="21"/>
        </w:rPr>
      </w:pPr>
      <w:r>
        <w:rPr>
          <w:rFonts w:hint="eastAsia"/>
          <w:color w:val="000000"/>
          <w:szCs w:val="21"/>
          <w:lang w:val="en-US" w:eastAsia="zh-CN"/>
        </w:rPr>
        <w:t>10</w:t>
      </w:r>
      <w:r>
        <w:rPr>
          <w:rFonts w:ascii="Times New Roman" w:hAnsi="宋体"/>
          <w:color w:val="000000"/>
          <w:szCs w:val="21"/>
        </w:rPr>
        <w:t>．债权人的代位权</w:t>
      </w:r>
    </w:p>
    <w:p>
      <w:pPr>
        <w:spacing w:line="360" w:lineRule="auto"/>
        <w:rPr>
          <w:rFonts w:ascii="Times New Roman" w:hAnsi="Times New Roman"/>
          <w:color w:val="000000"/>
          <w:szCs w:val="21"/>
        </w:rPr>
      </w:pPr>
      <w:r>
        <w:rPr>
          <w:rFonts w:ascii="Times New Roman" w:hAnsi="宋体"/>
          <w:color w:val="000000"/>
          <w:szCs w:val="21"/>
        </w:rPr>
        <w:t>债权人享有的对于债务人不积极行使自己的权利而危及债权人权利实现时，债权人得以自己的名义代替债务人直接向第三人行使权利的权利。</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三、简答题 </w:t>
      </w:r>
    </w:p>
    <w:p>
      <w:pPr>
        <w:rPr>
          <w:rFonts w:hint="eastAsia" w:ascii="宋体" w:hAnsi="宋体" w:eastAsia="宋体" w:cs="宋体"/>
          <w:sz w:val="21"/>
          <w:szCs w:val="21"/>
        </w:rPr>
      </w:pPr>
      <w:r>
        <w:rPr>
          <w:rFonts w:hint="eastAsia" w:ascii="宋体" w:hAnsi="宋体" w:eastAsia="宋体" w:cs="宋体"/>
          <w:sz w:val="21"/>
          <w:szCs w:val="21"/>
        </w:rPr>
        <w:t>1.简述专利权的客体。</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 简述税法制度的原则。</w:t>
      </w:r>
    </w:p>
    <w:p>
      <w:pPr>
        <w:rPr>
          <w:rFonts w:hint="eastAsia" w:ascii="宋体" w:hAnsi="宋体" w:eastAsia="宋体" w:cs="宋体"/>
          <w:sz w:val="21"/>
          <w:szCs w:val="21"/>
        </w:rPr>
      </w:pPr>
      <w:r>
        <w:rPr>
          <w:rFonts w:hint="eastAsia" w:ascii="宋体" w:hAnsi="宋体" w:eastAsia="宋体" w:cs="宋体"/>
          <w:sz w:val="21"/>
          <w:szCs w:val="21"/>
        </w:rPr>
        <w:t>税法制度的原则有5项：</w:t>
      </w:r>
    </w:p>
    <w:p>
      <w:pPr>
        <w:rPr>
          <w:rFonts w:hint="eastAsia" w:ascii="宋体" w:hAnsi="宋体" w:eastAsia="宋体" w:cs="宋体"/>
          <w:sz w:val="21"/>
          <w:szCs w:val="21"/>
        </w:rPr>
      </w:pPr>
      <w:r>
        <w:rPr>
          <w:rFonts w:hint="eastAsia" w:ascii="宋体" w:hAnsi="宋体" w:eastAsia="宋体" w:cs="宋体"/>
          <w:sz w:val="21"/>
          <w:szCs w:val="21"/>
        </w:rPr>
        <w:t>(1) 集中资金的原则。</w:t>
      </w:r>
    </w:p>
    <w:p>
      <w:pPr>
        <w:rPr>
          <w:rFonts w:hint="eastAsia" w:ascii="宋体" w:hAnsi="宋体" w:eastAsia="宋体" w:cs="宋体"/>
          <w:sz w:val="21"/>
          <w:szCs w:val="21"/>
        </w:rPr>
      </w:pPr>
      <w:r>
        <w:rPr>
          <w:rFonts w:hint="eastAsia" w:ascii="宋体" w:hAnsi="宋体" w:eastAsia="宋体" w:cs="宋体"/>
          <w:sz w:val="21"/>
          <w:szCs w:val="21"/>
        </w:rPr>
        <w:t>(2) 发展经济的原则。</w:t>
      </w:r>
    </w:p>
    <w:p>
      <w:pPr>
        <w:rPr>
          <w:rFonts w:hint="eastAsia" w:ascii="宋体" w:hAnsi="宋体" w:eastAsia="宋体" w:cs="宋体"/>
          <w:sz w:val="21"/>
          <w:szCs w:val="21"/>
        </w:rPr>
      </w:pPr>
      <w:r>
        <w:rPr>
          <w:rFonts w:hint="eastAsia" w:ascii="宋体" w:hAnsi="宋体" w:eastAsia="宋体" w:cs="宋体"/>
          <w:sz w:val="21"/>
          <w:szCs w:val="21"/>
        </w:rPr>
        <w:t>(3) 公平税负的原则。</w:t>
      </w:r>
    </w:p>
    <w:p>
      <w:pPr>
        <w:rPr>
          <w:rFonts w:hint="eastAsia" w:ascii="宋体" w:hAnsi="宋体" w:eastAsia="宋体" w:cs="宋体"/>
          <w:sz w:val="21"/>
          <w:szCs w:val="21"/>
        </w:rPr>
      </w:pPr>
      <w:r>
        <w:rPr>
          <w:rFonts w:hint="eastAsia" w:ascii="宋体" w:hAnsi="宋体" w:eastAsia="宋体" w:cs="宋体"/>
          <w:sz w:val="21"/>
          <w:szCs w:val="21"/>
        </w:rPr>
        <w:t>(4) 维护国家主权和经济利益，促进对外开放的原则。</w:t>
      </w:r>
    </w:p>
    <w:p>
      <w:pPr>
        <w:rPr>
          <w:rFonts w:hint="eastAsia" w:ascii="宋体" w:hAnsi="宋体" w:eastAsia="宋体" w:cs="宋体"/>
          <w:sz w:val="21"/>
          <w:szCs w:val="21"/>
        </w:rPr>
      </w:pPr>
      <w:r>
        <w:rPr>
          <w:rFonts w:hint="eastAsia" w:ascii="宋体" w:hAnsi="宋体" w:eastAsia="宋体" w:cs="宋体"/>
          <w:sz w:val="21"/>
          <w:szCs w:val="21"/>
        </w:rPr>
        <w:t>(5) 统一领导、分级管理和依法治税的原则。</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3. 因产品存在缺陷造成人身、他人财产损害的，应由谁承担赔偿责任？</w:t>
      </w:r>
    </w:p>
    <w:p>
      <w:pPr>
        <w:rPr>
          <w:rFonts w:hint="eastAsia" w:ascii="宋体" w:hAnsi="宋体" w:eastAsia="宋体" w:cs="宋体"/>
          <w:sz w:val="21"/>
          <w:szCs w:val="21"/>
        </w:rPr>
      </w:pPr>
      <w:r>
        <w:rPr>
          <w:rFonts w:hint="eastAsia" w:ascii="宋体" w:hAnsi="宋体" w:eastAsia="宋体" w:cs="宋体"/>
          <w:sz w:val="21"/>
          <w:szCs w:val="21"/>
        </w:rPr>
        <w:t>因产品存在缺陷造成的损害赔偿，承担赔偿责任的是：</w:t>
      </w:r>
    </w:p>
    <w:p>
      <w:pPr>
        <w:rPr>
          <w:rFonts w:hint="eastAsia" w:ascii="宋体" w:hAnsi="宋体" w:eastAsia="宋体" w:cs="宋体"/>
          <w:sz w:val="21"/>
          <w:szCs w:val="21"/>
        </w:rPr>
      </w:pPr>
      <w:r>
        <w:rPr>
          <w:rFonts w:hint="eastAsia" w:ascii="宋体" w:hAnsi="宋体" w:eastAsia="宋体" w:cs="宋体"/>
          <w:sz w:val="21"/>
          <w:szCs w:val="21"/>
        </w:rPr>
        <w:t>(1) 因产品存在缺陷造成人身、他人财产损坏的，生产者应当承担赔偿责任。</w:t>
      </w:r>
      <w:r>
        <w:rPr>
          <w:rFonts w:hint="eastAsia" w:ascii="宋体" w:hAnsi="宋体" w:eastAsia="宋体" w:cs="宋体"/>
          <w:sz w:val="21"/>
          <w:szCs w:val="21"/>
        </w:rPr>
        <w:br w:type="textWrapping"/>
      </w:r>
      <w:r>
        <w:rPr>
          <w:rFonts w:hint="eastAsia" w:ascii="宋体" w:hAnsi="宋体" w:eastAsia="宋体" w:cs="宋体"/>
          <w:sz w:val="21"/>
          <w:szCs w:val="21"/>
        </w:rPr>
        <w:t>(2) 由于销售者过错使产品的缺陷，造成人身、他人财产的损坏的，销售者应承担赔偿责任。</w:t>
      </w:r>
      <w:r>
        <w:rPr>
          <w:rFonts w:hint="eastAsia" w:ascii="宋体" w:hAnsi="宋体" w:eastAsia="宋体" w:cs="宋体"/>
          <w:sz w:val="21"/>
          <w:szCs w:val="21"/>
        </w:rPr>
        <w:br w:type="textWrapping"/>
      </w:r>
      <w:r>
        <w:rPr>
          <w:rFonts w:hint="eastAsia" w:ascii="宋体" w:hAnsi="宋体" w:eastAsia="宋体" w:cs="宋体"/>
          <w:sz w:val="21"/>
          <w:szCs w:val="21"/>
        </w:rPr>
        <w:t>(3) 销售者不能指明缺陷产品的生产者，也不能指明缺陷产品的供货者，销售者应当承担赔偿责任</w:t>
      </w:r>
      <w:r>
        <w:rPr>
          <w:rFonts w:hint="eastAsia" w:ascii="宋体" w:hAnsi="宋体" w:eastAsia="宋体" w:cs="宋体"/>
          <w:sz w:val="21"/>
          <w:szCs w:val="21"/>
        </w:rPr>
        <w:br w:type="textWrapping"/>
      </w:r>
      <w:r>
        <w:rPr>
          <w:rFonts w:hint="eastAsia" w:ascii="宋体" w:hAnsi="宋体" w:eastAsia="宋体" w:cs="宋体"/>
          <w:sz w:val="21"/>
          <w:szCs w:val="21"/>
        </w:rPr>
        <w:t>(4) 因产品存在缺陷造成人身、他人财产损害的，受害人可以向产品的生产者要求赔偿，也可以向产品的销售者要求赔偿。 属于产品生产者的责任，产品的销售者赔偿的，产品的销售者有权向产品的生产者追偿，属于产品销售者的责任，产品的生产者赔偿的，产品的生产者有权向产品的销售者追偿。</w:t>
      </w:r>
      <w:r>
        <w:rPr>
          <w:rFonts w:hint="eastAsia" w:ascii="宋体" w:hAnsi="宋体" w:eastAsia="宋体" w:cs="宋体"/>
          <w:sz w:val="21"/>
          <w:szCs w:val="21"/>
        </w:rPr>
        <w:br w:type="textWrapping"/>
      </w:r>
    </w:p>
    <w:p>
      <w:pPr>
        <w:rPr>
          <w:rFonts w:hint="eastAsia" w:ascii="宋体" w:hAnsi="宋体" w:eastAsia="宋体" w:cs="宋体"/>
          <w:sz w:val="21"/>
          <w:szCs w:val="21"/>
        </w:rPr>
      </w:pPr>
      <w:r>
        <w:rPr>
          <w:rFonts w:hint="eastAsia" w:ascii="宋体" w:hAnsi="宋体" w:eastAsia="宋体" w:cs="宋体"/>
          <w:sz w:val="21"/>
          <w:szCs w:val="21"/>
        </w:rPr>
        <w:t>4. 简述我国全民所有制企业的性质和地位。</w:t>
      </w:r>
    </w:p>
    <w:p>
      <w:pPr>
        <w:rPr>
          <w:rFonts w:hint="eastAsia" w:ascii="宋体" w:hAnsi="宋体" w:eastAsia="宋体" w:cs="宋体"/>
          <w:sz w:val="21"/>
          <w:szCs w:val="21"/>
        </w:rPr>
      </w:pPr>
      <w:r>
        <w:rPr>
          <w:rFonts w:hint="eastAsia" w:ascii="宋体" w:hAnsi="宋体" w:eastAsia="宋体" w:cs="宋体"/>
          <w:sz w:val="21"/>
          <w:szCs w:val="21"/>
        </w:rPr>
        <w:t>我国全民所有制企业的性质和地位是：</w:t>
      </w:r>
      <w:r>
        <w:rPr>
          <w:rFonts w:hint="eastAsia" w:ascii="宋体" w:hAnsi="宋体" w:eastAsia="宋体" w:cs="宋体"/>
          <w:sz w:val="21"/>
          <w:szCs w:val="21"/>
        </w:rPr>
        <w:br w:type="textWrapping"/>
      </w:r>
      <w:r>
        <w:rPr>
          <w:rFonts w:hint="eastAsia" w:ascii="宋体" w:hAnsi="宋体" w:eastAsia="宋体" w:cs="宋体"/>
          <w:sz w:val="21"/>
          <w:szCs w:val="21"/>
        </w:rPr>
        <w:t>(1) 企业财产为全民所有，它是全民所有制经济组织；</w:t>
      </w:r>
      <w:r>
        <w:rPr>
          <w:rFonts w:hint="eastAsia" w:ascii="宋体" w:hAnsi="宋体" w:eastAsia="宋体" w:cs="宋体"/>
          <w:sz w:val="21"/>
          <w:szCs w:val="21"/>
        </w:rPr>
        <w:br w:type="textWrapping"/>
      </w:r>
      <w:r>
        <w:rPr>
          <w:rFonts w:hint="eastAsia" w:ascii="宋体" w:hAnsi="宋体" w:eastAsia="宋体" w:cs="宋体"/>
          <w:sz w:val="21"/>
          <w:szCs w:val="21"/>
        </w:rPr>
        <w:t>(2) 经济上自主经营、自负盈亏、独立核算，是社会主义商品生产和经营单位；</w:t>
      </w:r>
      <w:r>
        <w:rPr>
          <w:rFonts w:hint="eastAsia" w:ascii="宋体" w:hAnsi="宋体" w:eastAsia="宋体" w:cs="宋体"/>
          <w:sz w:val="21"/>
          <w:szCs w:val="21"/>
        </w:rPr>
        <w:br w:type="textWrapping"/>
      </w:r>
      <w:r>
        <w:rPr>
          <w:rFonts w:hint="eastAsia" w:ascii="宋体" w:hAnsi="宋体" w:eastAsia="宋体" w:cs="宋体"/>
          <w:sz w:val="21"/>
          <w:szCs w:val="21"/>
        </w:rPr>
        <w:t>(3) 法律上具有法人主体资格，对国家授予其经营管理的财产享有经营权，并独立承担民事责任。</w:t>
      </w:r>
      <w:r>
        <w:rPr>
          <w:rFonts w:hint="eastAsia" w:ascii="宋体" w:hAnsi="宋体" w:eastAsia="宋体" w:cs="宋体"/>
          <w:sz w:val="21"/>
          <w:szCs w:val="21"/>
        </w:rPr>
        <w:br w:type="textWrapping"/>
      </w:r>
    </w:p>
    <w:p>
      <w:pPr>
        <w:spacing w:line="360" w:lineRule="auto"/>
        <w:rPr>
          <w:rFonts w:ascii="Times New Roman" w:hAnsi="Times New Roman"/>
          <w:szCs w:val="21"/>
        </w:rPr>
      </w:pPr>
      <w:r>
        <w:rPr>
          <w:rFonts w:hint="eastAsia"/>
          <w:szCs w:val="21"/>
          <w:lang w:val="en-US" w:eastAsia="zh-CN"/>
        </w:rPr>
        <w:t>5</w:t>
      </w:r>
      <w:r>
        <w:rPr>
          <w:rFonts w:ascii="Times New Roman" w:hAnsi="宋体"/>
          <w:szCs w:val="21"/>
        </w:rPr>
        <w:t>、股份有限公司的发起人应当承担哪些责任？</w:t>
      </w:r>
    </w:p>
    <w:p>
      <w:pPr>
        <w:spacing w:line="360" w:lineRule="auto"/>
        <w:rPr>
          <w:rFonts w:ascii="Times New Roman" w:hAnsi="Times New Roman"/>
          <w:color w:val="000000"/>
          <w:szCs w:val="21"/>
        </w:rPr>
      </w:pPr>
      <w:r>
        <w:rPr>
          <w:rFonts w:ascii="Times New Roman" w:hAnsi="宋体"/>
          <w:color w:val="000000"/>
          <w:szCs w:val="21"/>
        </w:rPr>
        <w:t>股份有限公司的发起人应当承担下列责任：</w:t>
      </w:r>
    </w:p>
    <w:p>
      <w:pPr>
        <w:spacing w:line="360" w:lineRule="auto"/>
        <w:rPr>
          <w:rFonts w:ascii="Times New Roman" w:hAnsi="Times New Roman"/>
          <w:color w:val="000000"/>
          <w:szCs w:val="21"/>
        </w:rPr>
      </w:pPr>
      <w:r>
        <w:rPr>
          <w:rFonts w:ascii="Times New Roman" w:hAnsi="宋体"/>
          <w:color w:val="000000"/>
          <w:szCs w:val="21"/>
        </w:rPr>
        <w:t>（</w:t>
      </w:r>
      <w:r>
        <w:rPr>
          <w:rFonts w:ascii="Times New Roman" w:hAnsi="Times New Roman"/>
          <w:color w:val="000000"/>
          <w:szCs w:val="21"/>
        </w:rPr>
        <w:t>1</w:t>
      </w:r>
      <w:r>
        <w:rPr>
          <w:rFonts w:ascii="Times New Roman" w:hAnsi="宋体"/>
          <w:color w:val="000000"/>
          <w:szCs w:val="21"/>
        </w:rPr>
        <w:t>）公司不能成立时，对设立行为所产生的债务和费用负连带责任；</w:t>
      </w:r>
      <w:r>
        <w:rPr>
          <w:rFonts w:ascii="Times New Roman" w:hAnsi="Times New Roman"/>
          <w:color w:val="000000"/>
          <w:szCs w:val="21"/>
        </w:rPr>
        <w:t xml:space="preserve"> </w:t>
      </w:r>
    </w:p>
    <w:p>
      <w:pPr>
        <w:spacing w:line="360" w:lineRule="auto"/>
        <w:rPr>
          <w:rFonts w:ascii="Times New Roman" w:hAnsi="Times New Roman"/>
          <w:color w:val="000000"/>
          <w:szCs w:val="21"/>
        </w:rPr>
      </w:pPr>
      <w:r>
        <w:rPr>
          <w:rFonts w:ascii="Times New Roman" w:hAnsi="宋体"/>
          <w:color w:val="000000"/>
          <w:szCs w:val="21"/>
        </w:rPr>
        <w:t>（</w:t>
      </w:r>
      <w:r>
        <w:rPr>
          <w:rFonts w:ascii="Times New Roman" w:hAnsi="Times New Roman"/>
          <w:color w:val="000000"/>
          <w:szCs w:val="21"/>
        </w:rPr>
        <w:t>2</w:t>
      </w:r>
      <w:r>
        <w:rPr>
          <w:rFonts w:ascii="Times New Roman" w:hAnsi="宋体"/>
          <w:color w:val="000000"/>
          <w:szCs w:val="21"/>
        </w:rPr>
        <w:t>）公司不能成立时，对认股人已缴纳的股款，负返还股款并加算银行同期存款利息的连带责任；</w:t>
      </w:r>
    </w:p>
    <w:p>
      <w:pPr>
        <w:spacing w:line="360" w:lineRule="auto"/>
        <w:rPr>
          <w:rFonts w:ascii="Times New Roman" w:hAnsi="Times New Roman"/>
          <w:color w:val="000000"/>
          <w:szCs w:val="21"/>
        </w:rPr>
      </w:pPr>
      <w:r>
        <w:rPr>
          <w:rFonts w:ascii="Times New Roman" w:hAnsi="宋体"/>
          <w:color w:val="000000"/>
          <w:szCs w:val="21"/>
        </w:rPr>
        <w:t>（</w:t>
      </w:r>
      <w:r>
        <w:rPr>
          <w:rFonts w:ascii="Times New Roman" w:hAnsi="Times New Roman"/>
          <w:color w:val="000000"/>
          <w:szCs w:val="21"/>
        </w:rPr>
        <w:t>3</w:t>
      </w:r>
      <w:r>
        <w:rPr>
          <w:rFonts w:ascii="Times New Roman" w:hAnsi="宋体"/>
          <w:color w:val="000000"/>
          <w:szCs w:val="21"/>
        </w:rPr>
        <w:t>）在公司设立过程中，由于发起人的过失致使公司利益受到损害的，应当对公司承担赔偿责任。</w:t>
      </w:r>
    </w:p>
    <w:p>
      <w:pPr>
        <w:spacing w:line="360" w:lineRule="auto"/>
        <w:rPr>
          <w:rFonts w:ascii="Times New Roman" w:hAnsi="Times New Roman"/>
          <w:color w:val="000000"/>
          <w:szCs w:val="21"/>
        </w:rPr>
      </w:pPr>
      <w:r>
        <w:rPr>
          <w:rFonts w:hint="eastAsia"/>
          <w:szCs w:val="21"/>
          <w:lang w:val="en-US" w:eastAsia="zh-CN"/>
        </w:rPr>
        <w:t>6</w:t>
      </w:r>
      <w:r>
        <w:rPr>
          <w:rFonts w:ascii="Times New Roman" w:hAnsi="宋体"/>
          <w:szCs w:val="21"/>
        </w:rPr>
        <w:t>、</w:t>
      </w:r>
      <w:r>
        <w:rPr>
          <w:rFonts w:ascii="Times New Roman" w:hAnsi="宋体"/>
          <w:kern w:val="0"/>
          <w:szCs w:val="21"/>
        </w:rPr>
        <w:t>上市公司存在哪些情形之一的，不得公开发行证券？</w:t>
      </w:r>
    </w:p>
    <w:p>
      <w:pPr>
        <w:spacing w:line="360" w:lineRule="auto"/>
        <w:rPr>
          <w:rFonts w:ascii="Times New Roman" w:hAnsi="Times New Roman"/>
          <w:szCs w:val="21"/>
        </w:rPr>
      </w:pPr>
      <w:r>
        <w:rPr>
          <w:rFonts w:ascii="Times New Roman" w:hAnsi="宋体"/>
          <w:szCs w:val="21"/>
        </w:rPr>
        <w:t>上市公司存在下列情形之一的，不得公开发行证券：</w:t>
      </w:r>
    </w:p>
    <w:p>
      <w:pPr>
        <w:spacing w:line="360" w:lineRule="auto"/>
        <w:rPr>
          <w:rFonts w:ascii="Times New Roman" w:hAnsi="Times New Roman"/>
          <w:szCs w:val="21"/>
        </w:rPr>
      </w:pPr>
      <w:r>
        <w:rPr>
          <w:rFonts w:ascii="宋体" w:hAnsi="宋体"/>
          <w:szCs w:val="21"/>
        </w:rPr>
        <w:t>①</w:t>
      </w:r>
      <w:r>
        <w:rPr>
          <w:rFonts w:ascii="Times New Roman" w:hAnsi="宋体"/>
          <w:szCs w:val="21"/>
        </w:rPr>
        <w:t>本次发行申请文件有虚假记载、误导性陈述或重大遗漏；</w:t>
      </w:r>
    </w:p>
    <w:p>
      <w:pPr>
        <w:spacing w:line="360" w:lineRule="auto"/>
        <w:rPr>
          <w:rFonts w:ascii="Times New Roman" w:hAnsi="Times New Roman"/>
          <w:szCs w:val="21"/>
        </w:rPr>
      </w:pPr>
      <w:r>
        <w:rPr>
          <w:rFonts w:ascii="宋体" w:hAnsi="宋体"/>
          <w:szCs w:val="21"/>
        </w:rPr>
        <w:t>②</w:t>
      </w:r>
      <w:r>
        <w:rPr>
          <w:rFonts w:ascii="Times New Roman" w:hAnsi="宋体"/>
          <w:szCs w:val="21"/>
        </w:rPr>
        <w:t>擅自改变前次公开发行证券募集资金的用途而未作纠正；</w:t>
      </w:r>
    </w:p>
    <w:p>
      <w:pPr>
        <w:spacing w:line="360" w:lineRule="auto"/>
        <w:rPr>
          <w:rFonts w:ascii="Times New Roman" w:hAnsi="Times New Roman"/>
          <w:szCs w:val="21"/>
        </w:rPr>
      </w:pPr>
      <w:r>
        <w:rPr>
          <w:rFonts w:ascii="宋体" w:hAnsi="宋体"/>
          <w:szCs w:val="21"/>
        </w:rPr>
        <w:t>③</w:t>
      </w:r>
      <w:r>
        <w:rPr>
          <w:rFonts w:ascii="Times New Roman" w:hAnsi="宋体"/>
          <w:szCs w:val="21"/>
        </w:rPr>
        <w:t>上市公司最近</w:t>
      </w:r>
      <w:r>
        <w:rPr>
          <w:rFonts w:ascii="Times New Roman" w:hAnsi="Times New Roman"/>
          <w:szCs w:val="21"/>
        </w:rPr>
        <w:t>12</w:t>
      </w:r>
      <w:r>
        <w:rPr>
          <w:rFonts w:ascii="Times New Roman" w:hAnsi="宋体"/>
          <w:szCs w:val="21"/>
        </w:rPr>
        <w:t>个月内受到过证券交易所的公开谴责；</w:t>
      </w:r>
    </w:p>
    <w:p>
      <w:pPr>
        <w:spacing w:line="360" w:lineRule="auto"/>
        <w:rPr>
          <w:rFonts w:ascii="Times New Roman" w:hAnsi="Times New Roman"/>
          <w:szCs w:val="21"/>
        </w:rPr>
      </w:pPr>
      <w:r>
        <w:rPr>
          <w:rFonts w:ascii="宋体" w:hAnsi="宋体"/>
          <w:szCs w:val="21"/>
        </w:rPr>
        <w:t>④</w:t>
      </w:r>
      <w:r>
        <w:rPr>
          <w:rFonts w:ascii="Times New Roman" w:hAnsi="宋体"/>
          <w:szCs w:val="21"/>
        </w:rPr>
        <w:t>上市公司及其控股股东或实际控制人最近</w:t>
      </w:r>
      <w:r>
        <w:rPr>
          <w:rFonts w:ascii="Times New Roman" w:hAnsi="Times New Roman"/>
          <w:szCs w:val="21"/>
        </w:rPr>
        <w:t>12</w:t>
      </w:r>
      <w:r>
        <w:rPr>
          <w:rFonts w:ascii="Times New Roman" w:hAnsi="宋体"/>
          <w:szCs w:val="21"/>
        </w:rPr>
        <w:t>个月内存在未履行向投资者作出的公开承诺的行为；</w:t>
      </w:r>
    </w:p>
    <w:p>
      <w:pPr>
        <w:spacing w:line="360" w:lineRule="auto"/>
        <w:rPr>
          <w:rFonts w:ascii="Times New Roman" w:hAnsi="Times New Roman"/>
          <w:szCs w:val="21"/>
        </w:rPr>
      </w:pPr>
      <w:r>
        <w:rPr>
          <w:rFonts w:ascii="宋体" w:hAnsi="宋体"/>
          <w:szCs w:val="21"/>
        </w:rPr>
        <w:t>⑤</w:t>
      </w:r>
      <w:r>
        <w:rPr>
          <w:rFonts w:ascii="Times New Roman" w:hAnsi="宋体"/>
          <w:szCs w:val="21"/>
        </w:rPr>
        <w:t>上市公司或其现任董事、高级管理人员因涉嫌犯罪被司法机关立案侦查或涉嫌违法违规被中国证监会立案调查；</w:t>
      </w:r>
      <w:r>
        <w:rPr>
          <w:rFonts w:ascii="Times New Roman" w:hAnsi="Times New Roman"/>
          <w:szCs w:val="21"/>
        </w:rPr>
        <w:t xml:space="preserve"> </w:t>
      </w:r>
    </w:p>
    <w:p>
      <w:pPr>
        <w:spacing w:line="360" w:lineRule="auto"/>
        <w:rPr>
          <w:rFonts w:ascii="Times New Roman" w:hAnsi="Times New Roman"/>
          <w:szCs w:val="21"/>
        </w:rPr>
      </w:pPr>
      <w:r>
        <w:rPr>
          <w:rFonts w:ascii="宋体" w:hAnsi="宋体"/>
          <w:szCs w:val="21"/>
        </w:rPr>
        <w:t>⑥</w:t>
      </w:r>
      <w:r>
        <w:rPr>
          <w:rFonts w:ascii="Times New Roman" w:hAnsi="宋体"/>
          <w:szCs w:val="21"/>
        </w:rPr>
        <w:t>严重损害投资者的合法权益和社会公共利益的其他情形。</w:t>
      </w:r>
    </w:p>
    <w:p>
      <w:pPr>
        <w:rPr>
          <w:rFonts w:hint="eastAsia" w:ascii="宋体" w:hAnsi="宋体" w:eastAsia="宋体" w:cs="宋体"/>
          <w:sz w:val="21"/>
          <w:szCs w:val="21"/>
        </w:rPr>
      </w:pPr>
    </w:p>
    <w:p>
      <w:pPr>
        <w:spacing w:line="360" w:lineRule="auto"/>
        <w:rPr>
          <w:rFonts w:ascii="Times New Roman" w:hAnsi="Times New Roman"/>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rPr>
        <w:t>论述题 (</w:t>
      </w:r>
      <w:r>
        <w:rPr>
          <w:rFonts w:hint="eastAsia" w:ascii="宋体" w:hAnsi="宋体" w:eastAsia="宋体" w:cs="宋体"/>
          <w:sz w:val="21"/>
          <w:szCs w:val="21"/>
          <w:lang w:val="en-US" w:eastAsia="zh-CN"/>
        </w:rPr>
        <w:t>9</w:t>
      </w:r>
      <w:r>
        <w:rPr>
          <w:rFonts w:hint="eastAsia" w:ascii="宋体" w:hAnsi="宋体" w:eastAsia="宋体" w:cs="宋体"/>
          <w:sz w:val="21"/>
          <w:szCs w:val="21"/>
        </w:rPr>
        <w:t>分)</w:t>
      </w:r>
      <w:r>
        <w:rPr>
          <w:rFonts w:hint="eastAsia" w:ascii="宋体" w:hAnsi="宋体" w:eastAsia="宋体" w:cs="宋体"/>
          <w:sz w:val="21"/>
          <w:szCs w:val="21"/>
        </w:rPr>
        <w:br w:type="textWrapping"/>
      </w:r>
      <w:r>
        <w:rPr>
          <w:rFonts w:hint="eastAsia" w:ascii="宋体" w:hAnsi="宋体" w:cs="宋体"/>
          <w:sz w:val="21"/>
          <w:szCs w:val="21"/>
          <w:lang w:val="en-US" w:eastAsia="zh-CN"/>
        </w:rPr>
        <w:t>1、</w:t>
      </w:r>
      <w:r>
        <w:rPr>
          <w:rFonts w:hint="eastAsia" w:ascii="宋体" w:hAnsi="宋体" w:eastAsia="宋体" w:cs="宋体"/>
          <w:sz w:val="21"/>
          <w:szCs w:val="21"/>
        </w:rPr>
        <w:t>试述债权与所有权的概念及其区别。</w:t>
      </w:r>
      <w:r>
        <w:rPr>
          <w:rFonts w:hint="eastAsia" w:ascii="宋体" w:hAnsi="宋体" w:eastAsia="宋体" w:cs="宋体"/>
          <w:sz w:val="21"/>
          <w:szCs w:val="21"/>
        </w:rPr>
        <w:br w:type="textWrapping"/>
      </w:r>
      <w:r>
        <w:rPr>
          <w:rFonts w:hint="eastAsia" w:ascii="宋体" w:hAnsi="宋体" w:eastAsia="宋体" w:cs="宋体"/>
          <w:sz w:val="21"/>
          <w:szCs w:val="21"/>
        </w:rPr>
        <w:t>债是指按照合同的约定或法律规定，在特定的当事人之间产生的权利义务，即债权和债务。</w:t>
      </w:r>
      <w:r>
        <w:rPr>
          <w:rFonts w:hint="eastAsia" w:ascii="宋体" w:hAnsi="宋体" w:eastAsia="宋体" w:cs="宋体"/>
          <w:sz w:val="21"/>
          <w:szCs w:val="21"/>
        </w:rPr>
        <w:br w:type="textWrapping"/>
      </w:r>
      <w:r>
        <w:rPr>
          <w:rFonts w:hint="eastAsia" w:ascii="宋体" w:hAnsi="宋体" w:eastAsia="宋体" w:cs="宋体"/>
          <w:sz w:val="21"/>
          <w:szCs w:val="21"/>
        </w:rPr>
        <w:t>所有权是指所有人在法律规定的范围内对其财产享有占有、使用、收益、处分的权利。</w:t>
      </w:r>
      <w:r>
        <w:rPr>
          <w:rFonts w:hint="eastAsia" w:ascii="宋体" w:hAnsi="宋体" w:eastAsia="宋体" w:cs="宋体"/>
          <w:sz w:val="21"/>
          <w:szCs w:val="21"/>
        </w:rPr>
        <w:br w:type="textWrapping"/>
      </w:r>
      <w:r>
        <w:rPr>
          <w:rFonts w:hint="eastAsia" w:ascii="宋体" w:hAnsi="宋体" w:eastAsia="宋体" w:cs="宋体"/>
          <w:sz w:val="21"/>
          <w:szCs w:val="21"/>
        </w:rPr>
        <w:t>债权与所有权的区别在于：</w:t>
      </w:r>
      <w:r>
        <w:rPr>
          <w:rFonts w:hint="eastAsia" w:ascii="宋体" w:hAnsi="宋体" w:eastAsia="宋体" w:cs="宋体"/>
          <w:sz w:val="21"/>
          <w:szCs w:val="21"/>
        </w:rPr>
        <w:br w:type="textWrapping"/>
      </w:r>
      <w:r>
        <w:rPr>
          <w:rFonts w:hint="eastAsia" w:ascii="宋体" w:hAnsi="宋体" w:eastAsia="宋体" w:cs="宋体"/>
          <w:sz w:val="21"/>
          <w:szCs w:val="21"/>
        </w:rPr>
        <w:t>(1) 在调整社会关系上，所有权反映的是财产所有关系；债反映的是财产流转关系。所有权反映的是一种静态的财产关系，债反映的是一种动态财产关系。</w:t>
      </w:r>
      <w:r>
        <w:rPr>
          <w:rFonts w:hint="eastAsia" w:ascii="宋体" w:hAnsi="宋体" w:eastAsia="宋体" w:cs="宋体"/>
          <w:sz w:val="21"/>
          <w:szCs w:val="21"/>
        </w:rPr>
        <w:br w:type="textWrapping"/>
      </w:r>
      <w:r>
        <w:rPr>
          <w:rFonts w:hint="eastAsia" w:ascii="宋体" w:hAnsi="宋体" w:eastAsia="宋体" w:cs="宋体"/>
          <w:sz w:val="21"/>
          <w:szCs w:val="21"/>
        </w:rPr>
        <w:t>(2) 在主体方面，债反映的是特定的当事人之间的法律关系，而所有权关系只有所有权人是特定的，义务主体是不特定的。</w:t>
      </w:r>
      <w:r>
        <w:rPr>
          <w:rFonts w:hint="eastAsia" w:ascii="宋体" w:hAnsi="宋体" w:eastAsia="宋体" w:cs="宋体"/>
          <w:sz w:val="21"/>
          <w:szCs w:val="21"/>
        </w:rPr>
        <w:br w:type="textWrapping"/>
      </w:r>
      <w:r>
        <w:rPr>
          <w:rFonts w:hint="eastAsia" w:ascii="宋体" w:hAnsi="宋体" w:eastAsia="宋体" w:cs="宋体"/>
          <w:sz w:val="21"/>
          <w:szCs w:val="21"/>
        </w:rPr>
        <w:t>(3) 在客体方面，债的客体可以是物，也可以是行为；所有权的客体只能是物</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(4) 在内容方面，债的内容即债权债务，债权人的权利主要是通过债务人的行为来实现的。所有权人完全可以自主行使权利。</w:t>
      </w:r>
      <w:r>
        <w:rPr>
          <w:rFonts w:hint="eastAsia" w:ascii="宋体" w:hAnsi="宋体" w:eastAsia="宋体" w:cs="宋体"/>
          <w:sz w:val="21"/>
          <w:szCs w:val="21"/>
        </w:rPr>
        <w:br w:type="textWrapping"/>
      </w:r>
      <w:r>
        <w:rPr>
          <w:rFonts w:hint="eastAsia" w:ascii="宋体" w:hAnsi="宋体" w:eastAsia="宋体" w:cs="宋体"/>
          <w:sz w:val="21"/>
          <w:szCs w:val="21"/>
        </w:rPr>
        <w:t>(5) 从法律关系的发生上看，所有权关系只能依合法行为产生；债的关系可以依合法行为，如法律规定或合同的约定而产生，也可因不合法和为，如侵权行为而产生。</w:t>
      </w:r>
      <w:r>
        <w:rPr>
          <w:rFonts w:hint="eastAsia" w:ascii="宋体" w:hAnsi="宋体" w:eastAsia="宋体" w:cs="宋体"/>
          <w:sz w:val="21"/>
          <w:szCs w:val="21"/>
        </w:rPr>
        <w:br w:type="textWrapping"/>
      </w:r>
      <w:r>
        <w:rPr>
          <w:rFonts w:ascii="Times New Roman" w:hAnsi="Times New Roman"/>
          <w:szCs w:val="21"/>
        </w:rPr>
        <w:t>2</w:t>
      </w:r>
      <w:r>
        <w:rPr>
          <w:rFonts w:ascii="Times New Roman" w:hAnsi="宋体"/>
          <w:szCs w:val="21"/>
        </w:rPr>
        <w:t>、不得担任公司的董事、监事、高级管理人员的情形有哪些？</w:t>
      </w:r>
    </w:p>
    <w:p>
      <w:pPr>
        <w:spacing w:line="360" w:lineRule="auto"/>
        <w:rPr>
          <w:rFonts w:ascii="Times New Roman" w:hAnsi="Times New Roman"/>
          <w:szCs w:val="21"/>
        </w:rPr>
      </w:pPr>
      <w:r>
        <w:rPr>
          <w:rFonts w:ascii="Times New Roman" w:hAnsi="宋体"/>
          <w:szCs w:val="21"/>
        </w:rPr>
        <w:t>有下列情形之一的，不得担任公司的董事、监事、高级管理人员：</w:t>
      </w:r>
    </w:p>
    <w:p>
      <w:pPr>
        <w:spacing w:line="360" w:lineRule="auto"/>
        <w:rPr>
          <w:rFonts w:ascii="Times New Roman" w:hAnsi="Times New Roman"/>
          <w:szCs w:val="21"/>
        </w:rPr>
      </w:pPr>
      <w:r>
        <w:rPr>
          <w:rFonts w:ascii="Times New Roman" w:hAnsi="宋体"/>
          <w:szCs w:val="21"/>
        </w:rPr>
        <w:t>（</w:t>
      </w:r>
      <w:r>
        <w:rPr>
          <w:rFonts w:ascii="Times New Roman" w:hAnsi="Times New Roman"/>
          <w:szCs w:val="21"/>
        </w:rPr>
        <w:t>1</w:t>
      </w:r>
      <w:r>
        <w:rPr>
          <w:rFonts w:ascii="Times New Roman" w:hAnsi="宋体"/>
          <w:szCs w:val="21"/>
        </w:rPr>
        <w:t>）无民事行为能力或者限制民事行为能力；</w:t>
      </w:r>
    </w:p>
    <w:p>
      <w:pPr>
        <w:spacing w:line="360" w:lineRule="auto"/>
        <w:rPr>
          <w:rFonts w:ascii="Times New Roman" w:hAnsi="Times New Roman"/>
          <w:szCs w:val="21"/>
        </w:rPr>
      </w:pPr>
      <w:r>
        <w:rPr>
          <w:rFonts w:ascii="Times New Roman" w:hAnsi="宋体"/>
          <w:szCs w:val="21"/>
        </w:rPr>
        <w:t>（</w:t>
      </w:r>
      <w:r>
        <w:rPr>
          <w:rFonts w:ascii="Times New Roman" w:hAnsi="Times New Roman"/>
          <w:szCs w:val="21"/>
        </w:rPr>
        <w:t>2</w:t>
      </w:r>
      <w:r>
        <w:rPr>
          <w:rFonts w:ascii="Times New Roman" w:hAnsi="宋体"/>
          <w:szCs w:val="21"/>
        </w:rPr>
        <w:t>）因贪污、贿赂、侵占财产、挪用财产或者破坏社会主义市场经济秩序，被判处刑罚，执行期满未逾五年，或者因犯罪被剥夺政治权利，执行期满未逾五年；</w:t>
      </w:r>
    </w:p>
    <w:p>
      <w:pPr>
        <w:spacing w:line="360" w:lineRule="auto"/>
        <w:rPr>
          <w:rFonts w:ascii="Times New Roman" w:hAnsi="Times New Roman"/>
          <w:szCs w:val="21"/>
        </w:rPr>
      </w:pPr>
      <w:r>
        <w:rPr>
          <w:rFonts w:ascii="Times New Roman" w:hAnsi="宋体"/>
          <w:szCs w:val="21"/>
        </w:rPr>
        <w:t>（</w:t>
      </w:r>
      <w:r>
        <w:rPr>
          <w:rFonts w:ascii="Times New Roman" w:hAnsi="Times New Roman"/>
          <w:szCs w:val="21"/>
        </w:rPr>
        <w:t>3</w:t>
      </w:r>
      <w:r>
        <w:rPr>
          <w:rFonts w:ascii="Times New Roman" w:hAnsi="宋体"/>
          <w:szCs w:val="21"/>
        </w:rPr>
        <w:t>）担任破产清算的公司、企业的董事或者厂长、经理，对该公司、企业的破产负有个人责任的，自该公司、企业破产清算完结之日起未逾三年；</w:t>
      </w:r>
    </w:p>
    <w:p>
      <w:pPr>
        <w:spacing w:line="360" w:lineRule="auto"/>
        <w:rPr>
          <w:rFonts w:ascii="Times New Roman" w:hAnsi="Times New Roman"/>
          <w:szCs w:val="21"/>
        </w:rPr>
      </w:pPr>
      <w:r>
        <w:rPr>
          <w:rFonts w:ascii="Times New Roman" w:hAnsi="宋体"/>
          <w:szCs w:val="21"/>
        </w:rPr>
        <w:t>（</w:t>
      </w:r>
      <w:r>
        <w:rPr>
          <w:rFonts w:ascii="Times New Roman" w:hAnsi="Times New Roman"/>
          <w:szCs w:val="21"/>
        </w:rPr>
        <w:t>4</w:t>
      </w:r>
      <w:r>
        <w:rPr>
          <w:rFonts w:ascii="Times New Roman" w:hAnsi="宋体"/>
          <w:szCs w:val="21"/>
        </w:rPr>
        <w:t>）担任因违法被吊销营业执照、责令关闭的公司、企业的法定代表人，并负有个人责任的，自该公司、企业被吊销营业执照之日起未逾三年；</w:t>
      </w:r>
      <w:r>
        <w:rPr>
          <w:rFonts w:ascii="Times New Roman" w:hAnsi="Times New Roman"/>
          <w:szCs w:val="21"/>
        </w:rPr>
        <w:t xml:space="preserve"> </w:t>
      </w:r>
    </w:p>
    <w:p>
      <w:pPr>
        <w:spacing w:line="360" w:lineRule="auto"/>
        <w:rPr>
          <w:rFonts w:ascii="Times New Roman" w:hAnsi="Times New Roman"/>
          <w:szCs w:val="21"/>
        </w:rPr>
      </w:pPr>
      <w:r>
        <w:rPr>
          <w:rFonts w:ascii="Times New Roman" w:hAnsi="宋体"/>
          <w:szCs w:val="21"/>
        </w:rPr>
        <w:t>（</w:t>
      </w:r>
      <w:r>
        <w:rPr>
          <w:rFonts w:ascii="Times New Roman" w:hAnsi="Times New Roman"/>
          <w:szCs w:val="21"/>
        </w:rPr>
        <w:t>5</w:t>
      </w:r>
      <w:r>
        <w:rPr>
          <w:rFonts w:ascii="Times New Roman" w:hAnsi="宋体"/>
          <w:szCs w:val="21"/>
        </w:rPr>
        <w:t>）个人所负数额较大的债务到期未清偿。</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val="en-US" w:eastAsia="zh-CN"/>
        </w:rPr>
        <w:t>六、</w:t>
      </w:r>
      <w:r>
        <w:rPr>
          <w:rFonts w:hint="eastAsia" w:ascii="宋体" w:hAnsi="宋体" w:eastAsia="宋体" w:cs="宋体"/>
          <w:sz w:val="21"/>
          <w:szCs w:val="21"/>
        </w:rPr>
        <w:t>案例分析6</w:t>
      </w:r>
    </w:p>
    <w:p>
      <w:pPr>
        <w:rPr>
          <w:rFonts w:hint="eastAsia" w:ascii="宋体" w:hAnsi="宋体" w:eastAsia="宋体" w:cs="宋体"/>
          <w:sz w:val="21"/>
          <w:szCs w:val="21"/>
        </w:rPr>
      </w:pPr>
      <w:r>
        <w:rPr>
          <w:rFonts w:hint="eastAsia" w:ascii="宋体" w:hAnsi="宋体" w:eastAsia="宋体" w:cs="宋体"/>
          <w:sz w:val="21"/>
          <w:szCs w:val="21"/>
          <w:lang w:val="en-US" w:eastAsia="zh-CN"/>
        </w:rPr>
        <w:t>1、答：</w:t>
      </w:r>
      <w:r>
        <w:rPr>
          <w:rFonts w:hint="eastAsia" w:ascii="宋体" w:hAnsi="宋体" w:eastAsia="宋体" w:cs="宋体"/>
          <w:sz w:val="21"/>
          <w:szCs w:val="21"/>
        </w:rPr>
        <w:br w:type="textWrapping"/>
      </w:r>
      <w:r>
        <w:rPr>
          <w:rFonts w:hint="eastAsia" w:ascii="宋体" w:hAnsi="宋体" w:eastAsia="宋体" w:cs="宋体"/>
          <w:sz w:val="21"/>
          <w:szCs w:val="21"/>
        </w:rPr>
        <w:t>(1) 原告与被告签订的购销 (买卖) 合同符合国家法律规定，为有效合同，合同中约定被告应支付20﹪的定金，但被告实际未付，证明被告末履行合同义务，属违约行为。未支付定金这一行为并不能证明合同无效，因为按合同约定支付定金是当事人的义务，并非合同生效的条件。</w:t>
      </w:r>
    </w:p>
    <w:p>
      <w:pPr>
        <w:rPr>
          <w:rFonts w:hint="eastAsia" w:ascii="宋体" w:hAnsi="宋体" w:eastAsia="宋体" w:cs="宋体"/>
          <w:sz w:val="21"/>
          <w:szCs w:val="21"/>
        </w:rPr>
      </w:pPr>
      <w:r>
        <w:rPr>
          <w:rFonts w:hint="eastAsia" w:ascii="宋体" w:hAnsi="宋体" w:eastAsia="宋体" w:cs="宋体"/>
          <w:sz w:val="21"/>
          <w:szCs w:val="21"/>
        </w:rPr>
        <w:t>(2) 该合同并未解除。这是因为本案中被告即便有变更解除合同的理由，但并未依法办理解约手续，只是让人捎口信，且口信亦未捎到，故合同未解除，当事人仍应认真履行合同。</w:t>
      </w:r>
    </w:p>
    <w:p>
      <w:pPr>
        <w:rPr>
          <w:rFonts w:hint="eastAsia" w:ascii="宋体" w:hAnsi="宋体" w:eastAsia="宋体" w:cs="宋体"/>
          <w:sz w:val="21"/>
          <w:szCs w:val="21"/>
        </w:rPr>
      </w:pPr>
      <w:r>
        <w:rPr>
          <w:rFonts w:hint="eastAsia" w:ascii="宋体" w:hAnsi="宋体" w:eastAsia="宋体" w:cs="宋体"/>
          <w:sz w:val="21"/>
          <w:szCs w:val="21"/>
        </w:rPr>
        <w:t>(3) 被告单方违约，应承担违约责任并应继续履行合同。</w:t>
      </w: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2、答</w:t>
      </w:r>
    </w:p>
    <w:p>
      <w:pPr>
        <w:rPr>
          <w:rFonts w:hint="eastAsia" w:ascii="宋体" w:hAnsi="宋体" w:eastAsia="宋体" w:cs="宋体"/>
          <w:sz w:val="21"/>
          <w:szCs w:val="21"/>
        </w:rPr>
      </w:pPr>
      <w:r>
        <w:rPr>
          <w:rFonts w:hint="eastAsia" w:ascii="宋体" w:hAnsi="宋体" w:eastAsia="宋体" w:cs="宋体"/>
          <w:sz w:val="21"/>
          <w:szCs w:val="21"/>
        </w:rPr>
        <w:t>(1) 我国《商业银行法》规定，商业银行在我国境内不得从事信托投资和股票业务，不得投资于非自用不动产，不得向非银行金融机构和企业投资。本案中该城市合作银行的两项投资业务均违反了上述规定，是违反《商业银行法》的行为。中国人民银行是中央银行，具有金融监管职能，有权查处商业银行的违法和为。</w:t>
      </w:r>
    </w:p>
    <w:p>
      <w:pPr>
        <w:rPr>
          <w:rFonts w:hint="eastAsia" w:ascii="宋体" w:hAnsi="宋体" w:eastAsia="宋体" w:cs="宋体"/>
          <w:sz w:val="21"/>
          <w:szCs w:val="21"/>
        </w:rPr>
      </w:pPr>
      <w:r>
        <w:rPr>
          <w:rFonts w:hint="eastAsia" w:ascii="宋体" w:hAnsi="宋体" w:eastAsia="宋体" w:cs="宋体"/>
          <w:sz w:val="21"/>
          <w:szCs w:val="21"/>
        </w:rPr>
        <w:t>(2) 该商业银行违反《商业银行法》的规定，应当承担相应的法律责任。按《商业银行法》规定，凡在境内投资于非自用不动产或向非银行金融机构和企业投资的商业银行，由中国人民银行责令改正，有违法所得的，没收违法所得，并处违法所得1倍以上5倍以下罚款；没有违法所得的处以10万元以上50万元以下罚款；情节特别严重或者逾期不改正的，中国人民银行可以责令停业整顿或者吊销其营业许可证。</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p>
  <w:p>
    <w:pPr>
      <w:pStyle w:val="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93AFF4"/>
    <w:multiLevelType w:val="singleLevel"/>
    <w:tmpl w:val="B693AFF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594CDE"/>
    <w:rsid w:val="03594CDE"/>
    <w:rsid w:val="0FB77848"/>
    <w:rsid w:val="142A0C13"/>
    <w:rsid w:val="301B6DEA"/>
    <w:rsid w:val="30610C2A"/>
    <w:rsid w:val="50693ACB"/>
    <w:rsid w:val="58DF4EF2"/>
    <w:rsid w:val="5E047D03"/>
    <w:rsid w:val="6C1930D4"/>
    <w:rsid w:val="703C0E18"/>
    <w:rsid w:val="73207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uiPriority w:val="0"/>
  </w:style>
  <w:style w:type="paragraph" w:customStyle="1" w:styleId="7">
    <w:name w:val="正文应用"/>
    <w:basedOn w:val="8"/>
    <w:uiPriority w:val="0"/>
    <w:rPr>
      <w:kern w:val="2"/>
      <w:szCs w:val="22"/>
    </w:rPr>
  </w:style>
  <w:style w:type="paragraph" w:customStyle="1" w:styleId="8">
    <w:name w:val="样式3"/>
    <w:basedOn w:val="9"/>
    <w:qFormat/>
    <w:uiPriority w:val="0"/>
    <w:pPr>
      <w:ind w:firstLine="0" w:firstLineChars="0"/>
    </w:pPr>
  </w:style>
  <w:style w:type="paragraph" w:customStyle="1" w:styleId="9">
    <w:name w:val="样式2"/>
    <w:basedOn w:val="10"/>
    <w:uiPriority w:val="0"/>
    <w:rPr>
      <w:b/>
    </w:rPr>
  </w:style>
  <w:style w:type="paragraph" w:customStyle="1" w:styleId="10">
    <w:name w:val="样式1"/>
    <w:basedOn w:val="1"/>
    <w:qFormat/>
    <w:uiPriority w:val="0"/>
    <w:pPr>
      <w:ind w:firstLine="200" w:firstLineChars="200"/>
    </w:pPr>
    <w:rPr>
      <w:rFonts w:ascii="楷体_GB2312" w:eastAsia="楷体_GB2312"/>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2019-11-25T04:24:00Z</dcterms:created>
  <dc:creator>玉环育华教育</dc:creator>
  <cp:lastModifiedBy>AA.小树苗她爹</cp:lastModifiedBy>
  <dcterms:modified xsi:type="dcterms:W3CDTF">2019-12-09T09:02:59Z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