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inorEastAsia" w:hAnsiTheme="minorEastAsia" w:eastAsiaTheme="minorEastAsia"/>
          <w:sz w:val="24"/>
          <w:szCs w:val="24"/>
          <w:lang w:val="en-US" w:eastAsia="zh-CN"/>
        </w:rPr>
      </w:pPr>
      <w:r>
        <w:rPr>
          <w:rFonts w:hint="eastAsia" w:asciiTheme="minorEastAsia" w:hAnsiTheme="minorEastAsia"/>
          <w:sz w:val="24"/>
          <w:szCs w:val="24"/>
        </w:rPr>
        <w:t>药事管理学</w:t>
      </w:r>
      <w:r>
        <w:rPr>
          <w:rFonts w:hint="eastAsia" w:asciiTheme="minorEastAsia" w:hAnsiTheme="minorEastAsia"/>
          <w:sz w:val="24"/>
          <w:szCs w:val="24"/>
          <w:lang w:eastAsia="zh-CN"/>
        </w:rPr>
        <w:t>复习资料</w:t>
      </w:r>
      <w:bookmarkStart w:id="0" w:name="_GoBack"/>
      <w:bookmarkEnd w:id="0"/>
    </w:p>
    <w:p>
      <w:pPr>
        <w:rPr>
          <w:rFonts w:asciiTheme="minorEastAsia" w:hAnsiTheme="minorEastAsia"/>
          <w:sz w:val="24"/>
          <w:szCs w:val="24"/>
        </w:rPr>
      </w:pPr>
      <w:r>
        <w:rPr>
          <w:rFonts w:hint="eastAsia" w:asciiTheme="minorEastAsia" w:hAnsiTheme="minorEastAsia"/>
          <w:sz w:val="24"/>
          <w:szCs w:val="24"/>
        </w:rPr>
        <w:t>一 选择题</w:t>
      </w:r>
    </w:p>
    <w:p>
      <w:pPr>
        <w:rPr>
          <w:rFonts w:asciiTheme="minorEastAsia" w:hAnsiTheme="minorEastAsia"/>
          <w:sz w:val="24"/>
          <w:szCs w:val="24"/>
        </w:rPr>
      </w:pPr>
      <w:r>
        <w:rPr>
          <w:rFonts w:hint="eastAsia" w:asciiTheme="minorEastAsia" w:hAnsiTheme="minorEastAsia"/>
          <w:sz w:val="24"/>
          <w:szCs w:val="24"/>
        </w:rPr>
        <w:t>1A2 D3 D4 D5 B6 B  7 B8 B9 B10 A11C12 B13 B14 A15 C</w:t>
      </w:r>
    </w:p>
    <w:p>
      <w:pPr>
        <w:rPr>
          <w:rFonts w:cs="Times New Roman" w:asciiTheme="minorEastAsia" w:hAnsiTheme="minorEastAsia"/>
          <w:sz w:val="24"/>
          <w:szCs w:val="24"/>
        </w:rPr>
      </w:pPr>
      <w:r>
        <w:rPr>
          <w:rFonts w:hint="eastAsia" w:cs="Times New Roman" w:asciiTheme="minorEastAsia" w:hAnsiTheme="minorEastAsia"/>
          <w:sz w:val="24"/>
          <w:szCs w:val="24"/>
        </w:rPr>
        <w:t>二、填空题</w:t>
      </w:r>
    </w:p>
    <w:p>
      <w:pPr>
        <w:rPr>
          <w:rFonts w:cs="Times New Roman" w:asciiTheme="minorEastAsia" w:hAnsiTheme="minorEastAsia"/>
          <w:sz w:val="24"/>
          <w:szCs w:val="24"/>
        </w:rPr>
      </w:pPr>
      <w:r>
        <w:rPr>
          <w:rFonts w:hint="eastAsia" w:cs="Times New Roman" w:asciiTheme="minorEastAsia" w:hAnsiTheme="minorEastAsia"/>
          <w:sz w:val="24"/>
          <w:szCs w:val="24"/>
        </w:rPr>
        <w:t>1、</w:t>
      </w:r>
      <w:r>
        <w:rPr>
          <w:rFonts w:hint="eastAsia" w:cs="Times New Roman" w:asciiTheme="minorEastAsia" w:hAnsiTheme="minorEastAsia"/>
          <w:sz w:val="24"/>
          <w:szCs w:val="24"/>
          <w:u w:val="single"/>
        </w:rPr>
        <w:t>均一性</w:t>
      </w:r>
      <w:r>
        <w:rPr>
          <w:rFonts w:hint="eastAsia" w:cs="Times New Roman" w:asciiTheme="minorEastAsia" w:hAnsiTheme="minorEastAsia"/>
          <w:sz w:val="24"/>
          <w:szCs w:val="24"/>
        </w:rPr>
        <w:t>。</w:t>
      </w:r>
    </w:p>
    <w:p>
      <w:pPr>
        <w:rPr>
          <w:rFonts w:cs="Times New Roman" w:asciiTheme="minorEastAsia" w:hAnsiTheme="minorEastAsia"/>
          <w:sz w:val="24"/>
          <w:szCs w:val="24"/>
        </w:rPr>
      </w:pPr>
      <w:r>
        <w:rPr>
          <w:rFonts w:hint="eastAsia" w:cs="Times New Roman" w:asciiTheme="minorEastAsia" w:hAnsiTheme="minorEastAsia"/>
          <w:sz w:val="24"/>
          <w:szCs w:val="24"/>
        </w:rPr>
        <w:t>2、</w:t>
      </w:r>
      <w:r>
        <w:rPr>
          <w:rFonts w:hint="eastAsia" w:cs="Times New Roman" w:asciiTheme="minorEastAsia" w:hAnsiTheme="minorEastAsia"/>
          <w:sz w:val="24"/>
          <w:szCs w:val="24"/>
          <w:u w:val="single"/>
        </w:rPr>
        <w:t xml:space="preserve">  300</w:t>
      </w:r>
      <w:r>
        <w:rPr>
          <w:rFonts w:hint="eastAsia" w:cs="Times New Roman" w:asciiTheme="minorEastAsia" w:hAnsiTheme="minorEastAsia"/>
          <w:sz w:val="24"/>
          <w:szCs w:val="24"/>
        </w:rPr>
        <w:t>。</w:t>
      </w:r>
    </w:p>
    <w:p>
      <w:pPr>
        <w:rPr>
          <w:rFonts w:cs="Times New Roman" w:asciiTheme="minorEastAsia" w:hAnsiTheme="minorEastAsia"/>
          <w:sz w:val="24"/>
          <w:szCs w:val="24"/>
        </w:rPr>
      </w:pPr>
      <w:r>
        <w:rPr>
          <w:rFonts w:hint="eastAsia" w:cs="Times New Roman" w:asciiTheme="minorEastAsia" w:hAnsiTheme="minorEastAsia"/>
          <w:sz w:val="24"/>
          <w:szCs w:val="24"/>
        </w:rPr>
        <w:t>3、</w:t>
      </w:r>
      <w:r>
        <w:rPr>
          <w:rFonts w:hint="eastAsia" w:cs="Times New Roman" w:asciiTheme="minorEastAsia" w:hAnsiTheme="minorEastAsia"/>
          <w:sz w:val="24"/>
          <w:szCs w:val="24"/>
          <w:u w:val="single"/>
        </w:rPr>
        <w:t xml:space="preserve">地域性  </w:t>
      </w:r>
      <w:r>
        <w:rPr>
          <w:rFonts w:hint="eastAsia" w:cs="Times New Roman" w:asciiTheme="minorEastAsia" w:hAnsiTheme="minorEastAsia"/>
          <w:sz w:val="24"/>
          <w:szCs w:val="24"/>
        </w:rPr>
        <w:t>。</w:t>
      </w:r>
    </w:p>
    <w:p>
      <w:pPr>
        <w:rPr>
          <w:rFonts w:cs="Times New Roman" w:asciiTheme="minorEastAsia" w:hAnsiTheme="minorEastAsia"/>
          <w:sz w:val="24"/>
          <w:szCs w:val="24"/>
        </w:rPr>
      </w:pPr>
      <w:r>
        <w:rPr>
          <w:rFonts w:hint="eastAsia" w:cs="Times New Roman" w:asciiTheme="minorEastAsia" w:hAnsiTheme="minorEastAsia"/>
          <w:sz w:val="24"/>
          <w:szCs w:val="24"/>
        </w:rPr>
        <w:t>4、</w:t>
      </w:r>
      <w:r>
        <w:rPr>
          <w:rFonts w:hint="eastAsia" w:cs="Times New Roman" w:asciiTheme="minorEastAsia" w:hAnsiTheme="minorEastAsia"/>
          <w:sz w:val="24"/>
          <w:szCs w:val="24"/>
          <w:u w:val="single"/>
        </w:rPr>
        <w:t>淡黄</w:t>
      </w:r>
      <w:r>
        <w:rPr>
          <w:rFonts w:hint="eastAsia" w:cs="Times New Roman" w:asciiTheme="minorEastAsia" w:hAnsiTheme="minorEastAsia"/>
          <w:sz w:val="24"/>
          <w:szCs w:val="24"/>
        </w:rPr>
        <w:t>。</w:t>
      </w:r>
    </w:p>
    <w:p>
      <w:pPr>
        <w:rPr>
          <w:rFonts w:cs="Times New Roman" w:asciiTheme="minorEastAsia" w:hAnsiTheme="minorEastAsia"/>
          <w:sz w:val="24"/>
          <w:szCs w:val="24"/>
        </w:rPr>
      </w:pPr>
      <w:r>
        <w:rPr>
          <w:rFonts w:hint="eastAsia" w:cs="Times New Roman" w:asciiTheme="minorEastAsia" w:hAnsiTheme="minorEastAsia"/>
          <w:sz w:val="24"/>
          <w:szCs w:val="24"/>
        </w:rPr>
        <w:t>5、</w:t>
      </w:r>
      <w:r>
        <w:rPr>
          <w:rFonts w:hint="eastAsia" w:cs="Times New Roman" w:asciiTheme="minorEastAsia" w:hAnsiTheme="minorEastAsia"/>
          <w:sz w:val="24"/>
          <w:szCs w:val="24"/>
          <w:u w:val="single"/>
        </w:rPr>
        <w:t xml:space="preserve">   5 </w:t>
      </w:r>
      <w:r>
        <w:rPr>
          <w:rFonts w:hint="eastAsia" w:cs="Times New Roman" w:asciiTheme="minorEastAsia" w:hAnsiTheme="minorEastAsia"/>
          <w:sz w:val="24"/>
          <w:szCs w:val="24"/>
        </w:rPr>
        <w:t>年。</w:t>
      </w:r>
    </w:p>
    <w:p>
      <w:pPr>
        <w:rPr>
          <w:rFonts w:cs="Times New Roman" w:asciiTheme="minorEastAsia" w:hAnsiTheme="minorEastAsia"/>
          <w:sz w:val="24"/>
          <w:szCs w:val="24"/>
        </w:rPr>
      </w:pPr>
      <w:r>
        <w:rPr>
          <w:rFonts w:hint="eastAsia" w:cs="Times New Roman" w:asciiTheme="minorEastAsia" w:hAnsiTheme="minorEastAsia"/>
          <w:sz w:val="24"/>
          <w:szCs w:val="24"/>
        </w:rPr>
        <w:t>6、</w:t>
      </w:r>
      <w:r>
        <w:rPr>
          <w:rFonts w:hint="eastAsia" w:cs="Times New Roman" w:asciiTheme="minorEastAsia" w:hAnsiTheme="minorEastAsia"/>
          <w:sz w:val="24"/>
          <w:szCs w:val="24"/>
          <w:u w:val="single"/>
        </w:rPr>
        <w:t xml:space="preserve">  30CM  </w:t>
      </w:r>
      <w:r>
        <w:rPr>
          <w:rFonts w:hint="eastAsia" w:cs="Times New Roman" w:asciiTheme="minorEastAsia" w:hAnsiTheme="minorEastAsia"/>
          <w:sz w:val="24"/>
          <w:szCs w:val="24"/>
        </w:rPr>
        <w:t>。</w:t>
      </w:r>
    </w:p>
    <w:p>
      <w:pPr>
        <w:rPr>
          <w:rFonts w:cs="Times New Roman" w:asciiTheme="minorEastAsia" w:hAnsiTheme="minorEastAsia"/>
          <w:sz w:val="24"/>
          <w:szCs w:val="24"/>
        </w:rPr>
      </w:pPr>
      <w:r>
        <w:rPr>
          <w:rFonts w:hint="eastAsia" w:cs="Times New Roman" w:asciiTheme="minorEastAsia" w:hAnsiTheme="minorEastAsia"/>
          <w:sz w:val="24"/>
          <w:szCs w:val="24"/>
        </w:rPr>
        <w:t>7、</w:t>
      </w:r>
      <w:r>
        <w:rPr>
          <w:rFonts w:hint="eastAsia" w:cs="Times New Roman" w:asciiTheme="minorEastAsia" w:hAnsiTheme="minorEastAsia"/>
          <w:sz w:val="24"/>
          <w:szCs w:val="24"/>
          <w:u w:val="single"/>
        </w:rPr>
        <w:t xml:space="preserve">70℃  </w:t>
      </w:r>
      <w:r>
        <w:rPr>
          <w:rFonts w:hint="eastAsia" w:cs="Times New Roman" w:asciiTheme="minorEastAsia" w:hAnsiTheme="minorEastAsia"/>
          <w:sz w:val="24"/>
          <w:szCs w:val="24"/>
        </w:rPr>
        <w:t>。</w:t>
      </w:r>
    </w:p>
    <w:p>
      <w:pPr>
        <w:rPr>
          <w:rFonts w:cs="Times New Roman" w:asciiTheme="minorEastAsia" w:hAnsiTheme="minorEastAsia"/>
          <w:sz w:val="24"/>
          <w:szCs w:val="24"/>
        </w:rPr>
      </w:pPr>
      <w:r>
        <w:rPr>
          <w:rFonts w:hint="eastAsia" w:cs="Times New Roman" w:asciiTheme="minorEastAsia" w:hAnsiTheme="minorEastAsia"/>
          <w:sz w:val="24"/>
          <w:szCs w:val="24"/>
        </w:rPr>
        <w:t>8、</w:t>
      </w:r>
      <w:r>
        <w:rPr>
          <w:rFonts w:hint="eastAsia" w:cs="Times New Roman" w:asciiTheme="minorEastAsia" w:hAnsiTheme="minorEastAsia"/>
          <w:bCs/>
          <w:sz w:val="24"/>
          <w:szCs w:val="24"/>
          <w:u w:val="single"/>
        </w:rPr>
        <w:t>零售连锁</w:t>
      </w:r>
      <w:r>
        <w:rPr>
          <w:rFonts w:hint="eastAsia" w:cs="Times New Roman" w:asciiTheme="minorEastAsia" w:hAnsiTheme="minorEastAsia"/>
          <w:sz w:val="24"/>
          <w:szCs w:val="24"/>
        </w:rPr>
        <w:t>。</w:t>
      </w:r>
    </w:p>
    <w:p>
      <w:pPr>
        <w:rPr>
          <w:rFonts w:cs="Times New Roman" w:asciiTheme="minorEastAsia" w:hAnsiTheme="minorEastAsia"/>
          <w:sz w:val="24"/>
          <w:szCs w:val="24"/>
        </w:rPr>
      </w:pPr>
      <w:r>
        <w:rPr>
          <w:rFonts w:hint="eastAsia" w:cs="Times New Roman" w:asciiTheme="minorEastAsia" w:hAnsiTheme="minorEastAsia"/>
          <w:sz w:val="24"/>
          <w:szCs w:val="24"/>
        </w:rPr>
        <w:t>9、</w:t>
      </w:r>
      <w:r>
        <w:rPr>
          <w:rFonts w:hint="eastAsia" w:cs="Times New Roman" w:asciiTheme="minorEastAsia" w:hAnsiTheme="minorEastAsia"/>
          <w:sz w:val="24"/>
          <w:szCs w:val="24"/>
          <w:u w:val="single"/>
        </w:rPr>
        <w:t xml:space="preserve">  委托检验   </w:t>
      </w:r>
      <w:r>
        <w:rPr>
          <w:rFonts w:hint="eastAsia" w:cs="Times New Roman" w:asciiTheme="minorEastAsia" w:hAnsiTheme="minorEastAsia"/>
          <w:sz w:val="24"/>
          <w:szCs w:val="24"/>
        </w:rPr>
        <w:t>。</w:t>
      </w:r>
    </w:p>
    <w:p>
      <w:pPr>
        <w:rPr>
          <w:rFonts w:cs="Times New Roman" w:asciiTheme="minorEastAsia" w:hAnsiTheme="minorEastAsia"/>
          <w:sz w:val="24"/>
          <w:szCs w:val="24"/>
        </w:rPr>
      </w:pPr>
      <w:r>
        <w:rPr>
          <w:rFonts w:hint="eastAsia" w:cs="Times New Roman" w:asciiTheme="minorEastAsia" w:hAnsiTheme="minorEastAsia"/>
          <w:sz w:val="24"/>
          <w:szCs w:val="24"/>
        </w:rPr>
        <w:t>10、</w:t>
      </w:r>
      <w:r>
        <w:rPr>
          <w:rFonts w:cs="Arial" w:asciiTheme="minorEastAsia" w:hAnsiTheme="minorEastAsia"/>
          <w:sz w:val="24"/>
          <w:szCs w:val="24"/>
          <w:u w:val="single"/>
        </w:rPr>
        <w:t>2011年3月1日</w:t>
      </w:r>
      <w:r>
        <w:rPr>
          <w:rFonts w:hint="eastAsia" w:cs="Times New Roman" w:asciiTheme="minorEastAsia" w:hAnsiTheme="minorEastAsia"/>
          <w:sz w:val="24"/>
          <w:szCs w:val="24"/>
          <w:u w:val="single"/>
        </w:rPr>
        <w:t xml:space="preserve"> </w:t>
      </w:r>
    </w:p>
    <w:p>
      <w:pPr>
        <w:rPr>
          <w:rFonts w:cs="Times New Roman" w:asciiTheme="minorEastAsia" w:hAnsiTheme="minorEastAsia"/>
          <w:sz w:val="24"/>
          <w:szCs w:val="24"/>
        </w:rPr>
      </w:pPr>
      <w:r>
        <w:rPr>
          <w:rFonts w:hint="eastAsia" w:cs="Times New Roman" w:asciiTheme="minorEastAsia" w:hAnsiTheme="minorEastAsia"/>
          <w:sz w:val="24"/>
          <w:szCs w:val="24"/>
        </w:rPr>
        <w:t>三、名词解释</w:t>
      </w:r>
    </w:p>
    <w:p>
      <w:pPr>
        <w:rPr>
          <w:rFonts w:cs="Times New Roman" w:asciiTheme="minorEastAsia" w:hAnsiTheme="minorEastAsia"/>
          <w:sz w:val="24"/>
          <w:szCs w:val="24"/>
        </w:rPr>
      </w:pPr>
      <w:r>
        <w:rPr>
          <w:rFonts w:hint="eastAsia" w:cs="Times New Roman" w:asciiTheme="minorEastAsia" w:hAnsiTheme="minorEastAsia"/>
          <w:sz w:val="24"/>
          <w:szCs w:val="24"/>
        </w:rPr>
        <w:t>1、麻醉药品：是指具有依赖性潜力的药品，连续使用、滥用或不合理使用，易产生生理依赖性和精神依赖性，能成瘾的药品。</w:t>
      </w:r>
    </w:p>
    <w:p>
      <w:pPr>
        <w:rPr>
          <w:rFonts w:cs="Times New Roman" w:asciiTheme="minorEastAsia" w:hAnsiTheme="minorEastAsia"/>
          <w:sz w:val="24"/>
          <w:szCs w:val="24"/>
        </w:rPr>
      </w:pPr>
      <w:r>
        <w:rPr>
          <w:rFonts w:hint="eastAsia" w:cs="Times New Roman" w:asciiTheme="minorEastAsia" w:hAnsiTheme="minorEastAsia"/>
          <w:sz w:val="24"/>
          <w:szCs w:val="24"/>
        </w:rPr>
        <w:t>2、批记录：由于记录每批药品生产、质量检验和放行审核的所有文件和记录，可追溯所有与成品质量有关的历史信息。</w:t>
      </w:r>
    </w:p>
    <w:p>
      <w:pPr>
        <w:rPr>
          <w:rFonts w:cs="Times New Roman" w:asciiTheme="minorEastAsia" w:hAnsiTheme="minorEastAsia"/>
          <w:sz w:val="24"/>
          <w:szCs w:val="24"/>
        </w:rPr>
      </w:pPr>
      <w:r>
        <w:rPr>
          <w:rFonts w:hint="eastAsia" w:cs="Times New Roman" w:asciiTheme="minorEastAsia" w:hAnsiTheme="minorEastAsia"/>
          <w:sz w:val="24"/>
          <w:szCs w:val="24"/>
        </w:rPr>
        <w:t>3、劣药：药品成分的含量不符合国家药品标准的。（2）按劣药论处的情况：1）未标明有效期或者更改有效期的；2）不注明或更改生产批号的；3）超过有效期的；4）直接接触药品的包装材料和容器未经批准的；5）擅自添加着色剂、防腐剂、香料、矫味剂及辅料的；6）其他不符合药品标准规定的。</w:t>
      </w:r>
    </w:p>
    <w:p>
      <w:pPr>
        <w:rPr>
          <w:rFonts w:cs="Times New Roman" w:asciiTheme="minorEastAsia" w:hAnsiTheme="minorEastAsia"/>
          <w:sz w:val="24"/>
          <w:szCs w:val="24"/>
        </w:rPr>
      </w:pPr>
      <w:r>
        <w:rPr>
          <w:rFonts w:hint="eastAsia" w:cs="Times New Roman" w:asciiTheme="minorEastAsia" w:hAnsiTheme="minorEastAsia"/>
          <w:sz w:val="24"/>
          <w:szCs w:val="24"/>
        </w:rPr>
        <w:t>4、处方药：是指凭职业医师和职业助理医师处方方可购买、调配和使用的药品。</w:t>
      </w:r>
    </w:p>
    <w:p>
      <w:pPr>
        <w:rPr>
          <w:rFonts w:cs="Times New Roman" w:asciiTheme="minorEastAsia" w:hAnsiTheme="minorEastAsia"/>
          <w:sz w:val="24"/>
          <w:szCs w:val="24"/>
        </w:rPr>
      </w:pPr>
      <w:r>
        <w:rPr>
          <w:rFonts w:hint="eastAsia" w:cs="Times New Roman" w:asciiTheme="minorEastAsia" w:hAnsiTheme="minorEastAsia"/>
          <w:sz w:val="24"/>
          <w:szCs w:val="24"/>
        </w:rPr>
        <w:t>5、药品不良事件：</w:t>
      </w:r>
      <w:r>
        <w:rPr>
          <w:rFonts w:cs="Times New Roman" w:asciiTheme="minorEastAsia" w:hAnsiTheme="minorEastAsia"/>
          <w:sz w:val="24"/>
          <w:szCs w:val="24"/>
        </w:rPr>
        <w:t>是指药物治疗过程中所发生的任何不幸的医疗卫生事件, 而这种事件不一定与药物治疗有因果报应关系。</w:t>
      </w:r>
    </w:p>
    <w:p>
      <w:pPr>
        <w:rPr>
          <w:rFonts w:cs="Times New Roman" w:asciiTheme="minorEastAsia" w:hAnsiTheme="minorEastAsia"/>
          <w:sz w:val="24"/>
          <w:szCs w:val="24"/>
        </w:rPr>
      </w:pPr>
      <w:r>
        <w:rPr>
          <w:rFonts w:hint="eastAsia" w:cs="Times New Roman" w:asciiTheme="minorEastAsia" w:hAnsiTheme="minorEastAsia"/>
          <w:sz w:val="24"/>
          <w:szCs w:val="24"/>
        </w:rPr>
        <w:t>四、简答题</w:t>
      </w:r>
    </w:p>
    <w:p>
      <w:pPr>
        <w:rPr>
          <w:rFonts w:cs="Times New Roman" w:asciiTheme="minorEastAsia" w:hAnsiTheme="minorEastAsia"/>
          <w:sz w:val="24"/>
          <w:szCs w:val="24"/>
        </w:rPr>
      </w:pPr>
      <w:r>
        <w:rPr>
          <w:rFonts w:hint="eastAsia" w:cs="Times New Roman" w:asciiTheme="minorEastAsia" w:hAnsiTheme="minorEastAsia"/>
          <w:sz w:val="24"/>
          <w:szCs w:val="24"/>
        </w:rPr>
        <w:t>1、新版GMP（2010年版）对于洁净区分为哪几个级别？</w:t>
      </w:r>
    </w:p>
    <w:p>
      <w:pPr>
        <w:rPr>
          <w:rFonts w:cs="Times New Roman" w:asciiTheme="minorEastAsia" w:hAnsiTheme="minorEastAsia"/>
          <w:sz w:val="24"/>
          <w:szCs w:val="24"/>
        </w:rPr>
      </w:pPr>
      <w:r>
        <w:rPr>
          <w:rFonts w:hint="eastAsia" w:cs="Times New Roman" w:asciiTheme="minorEastAsia" w:hAnsiTheme="minorEastAsia"/>
          <w:sz w:val="24"/>
          <w:szCs w:val="24"/>
        </w:rPr>
        <w:t>答：洁净区可分为以下4个级别：1）A级，也称高风险操作区，如灌装区、放置胶塞桶和与无菌制剂直接接触的敞口包装容器的区域及无菌装配或连接操作的区域，应当用单向流操作台（罩）维持该区域的环境状态。2）B级，指无菌配制和灌装等高风险操作A级洁净区所处的背景区域。3）C级和D级，指无菌药品生产过程中重要程度较低步骤的洁净区。</w:t>
      </w:r>
    </w:p>
    <w:p>
      <w:pPr>
        <w:rPr>
          <w:rFonts w:cs="Times New Roman" w:asciiTheme="minorEastAsia" w:hAnsiTheme="minorEastAsia"/>
          <w:sz w:val="24"/>
          <w:szCs w:val="24"/>
        </w:rPr>
      </w:pPr>
      <w:r>
        <w:rPr>
          <w:rFonts w:hint="eastAsia" w:cs="Times New Roman" w:asciiTheme="minorEastAsia" w:hAnsiTheme="minorEastAsia"/>
          <w:sz w:val="24"/>
          <w:szCs w:val="24"/>
        </w:rPr>
        <w:t>2、处方的格式是有哪几部分组成？</w:t>
      </w:r>
    </w:p>
    <w:p>
      <w:pPr>
        <w:rPr>
          <w:rFonts w:cs="Times New Roman" w:asciiTheme="minorEastAsia" w:hAnsiTheme="minorEastAsia"/>
          <w:sz w:val="24"/>
          <w:szCs w:val="24"/>
        </w:rPr>
      </w:pPr>
      <w:r>
        <w:rPr>
          <w:rFonts w:hint="eastAsia" w:cs="Times New Roman" w:asciiTheme="minorEastAsia" w:hAnsiTheme="minorEastAsia"/>
          <w:sz w:val="24"/>
          <w:szCs w:val="24"/>
        </w:rPr>
        <w:t>答：格式：由前记、正文和后记三部分组成。1）前记包括医疗机构名称、费别、患者姓名、性别、年龄、门诊或住院病历号、科别、床位号、临床诊断、开具日期；2）正文：以Rp标示，分列药品名称、剂型、规格、数量、用法、用量；3）后记：医师签名或加盖专用章、药品金额、审查员、调配员药师签名或加盖专用章。</w:t>
      </w:r>
    </w:p>
    <w:p>
      <w:pPr>
        <w:rPr>
          <w:rFonts w:cs="Times New Roman" w:asciiTheme="minorEastAsia" w:hAnsiTheme="minorEastAsia"/>
          <w:sz w:val="24"/>
          <w:szCs w:val="24"/>
        </w:rPr>
      </w:pPr>
      <w:r>
        <w:rPr>
          <w:rFonts w:hint="eastAsia" w:cs="Times New Roman" w:asciiTheme="minorEastAsia" w:hAnsiTheme="minorEastAsia"/>
          <w:sz w:val="24"/>
          <w:szCs w:val="24"/>
        </w:rPr>
        <w:t>3、药品的质量特性包括哪4个方面？</w:t>
      </w:r>
    </w:p>
    <w:p>
      <w:pPr>
        <w:rPr>
          <w:rFonts w:cs="Times New Roman" w:asciiTheme="minorEastAsia" w:hAnsiTheme="minorEastAsia"/>
          <w:sz w:val="24"/>
          <w:szCs w:val="24"/>
        </w:rPr>
      </w:pPr>
      <w:r>
        <w:rPr>
          <w:rFonts w:hint="eastAsia" w:cs="Times New Roman" w:asciiTheme="minorEastAsia" w:hAnsiTheme="minorEastAsia"/>
          <w:sz w:val="24"/>
          <w:szCs w:val="24"/>
        </w:rPr>
        <w:t>答：</w:t>
      </w:r>
      <w:r>
        <w:rPr>
          <w:rFonts w:hint="eastAsia" w:cs="宋体" w:asciiTheme="minorEastAsia" w:hAnsiTheme="minorEastAsia"/>
          <w:sz w:val="24"/>
          <w:szCs w:val="24"/>
        </w:rPr>
        <w:t>①</w:t>
      </w:r>
      <w:r>
        <w:rPr>
          <w:rFonts w:cs="Times New Roman" w:asciiTheme="minorEastAsia" w:hAnsiTheme="minorEastAsia"/>
          <w:sz w:val="24"/>
          <w:szCs w:val="24"/>
        </w:rPr>
        <w:t>有效性：指在规定的适应症、用法和用量的条件下，能满足预防、治疗、诊断人的疾病，有目的地调节人的生理机能的要求</w:t>
      </w:r>
    </w:p>
    <w:p>
      <w:pPr>
        <w:rPr>
          <w:rFonts w:cs="Times New Roman" w:asciiTheme="minorEastAsia" w:hAnsiTheme="minorEastAsia"/>
          <w:sz w:val="24"/>
          <w:szCs w:val="24"/>
        </w:rPr>
      </w:pPr>
      <w:r>
        <w:rPr>
          <w:rFonts w:hint="eastAsia" w:cs="Times New Roman" w:asciiTheme="minorEastAsia" w:hAnsiTheme="minorEastAsia"/>
          <w:sz w:val="24"/>
          <w:szCs w:val="24"/>
        </w:rPr>
        <w:t xml:space="preserve">    </w:t>
      </w:r>
      <w:r>
        <w:rPr>
          <w:rFonts w:hint="eastAsia" w:cs="宋体" w:asciiTheme="minorEastAsia" w:hAnsiTheme="minorEastAsia"/>
          <w:sz w:val="24"/>
          <w:szCs w:val="24"/>
        </w:rPr>
        <w:t>②</w:t>
      </w:r>
      <w:r>
        <w:rPr>
          <w:rFonts w:cs="Times New Roman" w:asciiTheme="minorEastAsia" w:hAnsiTheme="minorEastAsia"/>
          <w:sz w:val="24"/>
          <w:szCs w:val="24"/>
        </w:rPr>
        <w:t>安全性：指按规定的适应症和用法、用量使用药品后，人体产生毒副作用反应的程度。</w:t>
      </w:r>
    </w:p>
    <w:p>
      <w:pPr>
        <w:rPr>
          <w:rFonts w:cs="Times New Roman" w:asciiTheme="minorEastAsia" w:hAnsiTheme="minorEastAsia"/>
          <w:sz w:val="24"/>
          <w:szCs w:val="24"/>
        </w:rPr>
      </w:pPr>
      <w:r>
        <w:rPr>
          <w:rFonts w:hint="eastAsia" w:cs="Times New Roman" w:asciiTheme="minorEastAsia" w:hAnsiTheme="minorEastAsia"/>
          <w:sz w:val="24"/>
          <w:szCs w:val="24"/>
        </w:rPr>
        <w:t xml:space="preserve">    </w:t>
      </w:r>
      <w:r>
        <w:rPr>
          <w:rFonts w:hint="eastAsia" w:cs="宋体" w:asciiTheme="minorEastAsia" w:hAnsiTheme="minorEastAsia"/>
          <w:sz w:val="24"/>
          <w:szCs w:val="24"/>
        </w:rPr>
        <w:t>③</w:t>
      </w:r>
      <w:r>
        <w:rPr>
          <w:rFonts w:cs="Times New Roman" w:asciiTheme="minorEastAsia" w:hAnsiTheme="minorEastAsia"/>
          <w:sz w:val="24"/>
          <w:szCs w:val="24"/>
        </w:rPr>
        <w:t>稳定性：指在规定的条件下保持其有效性和安全性的能力。</w:t>
      </w:r>
    </w:p>
    <w:p>
      <w:pPr>
        <w:rPr>
          <w:rFonts w:cs="Times New Roman" w:asciiTheme="minorEastAsia" w:hAnsiTheme="minorEastAsia"/>
          <w:sz w:val="24"/>
          <w:szCs w:val="24"/>
        </w:rPr>
      </w:pPr>
      <w:r>
        <w:rPr>
          <w:rFonts w:hint="eastAsia" w:cs="Times New Roman" w:asciiTheme="minorEastAsia" w:hAnsiTheme="minorEastAsia"/>
          <w:sz w:val="24"/>
          <w:szCs w:val="24"/>
        </w:rPr>
        <w:t xml:space="preserve">    </w:t>
      </w:r>
      <w:r>
        <w:rPr>
          <w:rFonts w:hint="eastAsia" w:cs="宋体" w:asciiTheme="minorEastAsia" w:hAnsiTheme="minorEastAsia"/>
          <w:sz w:val="24"/>
          <w:szCs w:val="24"/>
        </w:rPr>
        <w:t>④</w:t>
      </w:r>
      <w:r>
        <w:rPr>
          <w:rFonts w:cs="Times New Roman" w:asciiTheme="minorEastAsia" w:hAnsiTheme="minorEastAsia"/>
          <w:sz w:val="24"/>
          <w:szCs w:val="24"/>
        </w:rPr>
        <w:t>均一性：指药物制剂的每一单位产品都符合有效性、安全性的规定要求。</w:t>
      </w:r>
    </w:p>
    <w:p>
      <w:pPr>
        <w:rPr>
          <w:rFonts w:cs="Times New Roman" w:asciiTheme="minorEastAsia" w:hAnsiTheme="minorEastAsia"/>
          <w:sz w:val="24"/>
          <w:szCs w:val="24"/>
        </w:rPr>
      </w:pPr>
      <w:r>
        <w:rPr>
          <w:rFonts w:hint="eastAsia" w:cs="Times New Roman" w:asciiTheme="minorEastAsia" w:hAnsiTheme="minorEastAsia"/>
          <w:sz w:val="24"/>
          <w:szCs w:val="24"/>
        </w:rPr>
        <w:t>4、申请中药一级保护品种应具备哪些条件？</w:t>
      </w:r>
    </w:p>
    <w:p>
      <w:pPr>
        <w:rPr>
          <w:rFonts w:cs="Times New Roman" w:asciiTheme="minorEastAsia" w:hAnsiTheme="minorEastAsia"/>
          <w:sz w:val="24"/>
          <w:szCs w:val="24"/>
        </w:rPr>
      </w:pPr>
      <w:r>
        <w:rPr>
          <w:rFonts w:hint="eastAsia" w:cs="Times New Roman" w:asciiTheme="minorEastAsia" w:hAnsiTheme="minorEastAsia"/>
          <w:sz w:val="24"/>
          <w:szCs w:val="24"/>
        </w:rPr>
        <w:t>答：1）对特定疾病有特殊疗效的；2）相当于国家一级保护野生药材物种的人工制成品；3）用于预防和治疗特殊疾病的。</w:t>
      </w:r>
    </w:p>
    <w:p>
      <w:pPr>
        <w:rPr>
          <w:rFonts w:cs="Times New Roman" w:asciiTheme="minorEastAsia" w:hAnsiTheme="minorEastAsia"/>
          <w:sz w:val="24"/>
          <w:szCs w:val="24"/>
        </w:rPr>
      </w:pPr>
      <w:r>
        <w:rPr>
          <w:rFonts w:hint="eastAsia" w:cs="Times New Roman" w:asciiTheme="minorEastAsia" w:hAnsiTheme="minorEastAsia"/>
          <w:sz w:val="24"/>
          <w:szCs w:val="24"/>
        </w:rPr>
        <w:t>五、论述题</w:t>
      </w:r>
    </w:p>
    <w:p>
      <w:pPr>
        <w:rPr>
          <w:rFonts w:cs="Times New Roman" w:asciiTheme="minorEastAsia" w:hAnsiTheme="minorEastAsia"/>
          <w:sz w:val="24"/>
          <w:szCs w:val="24"/>
        </w:rPr>
      </w:pPr>
      <w:r>
        <w:rPr>
          <w:rFonts w:hint="eastAsia" w:cs="Times New Roman" w:asciiTheme="minorEastAsia" w:hAnsiTheme="minorEastAsia"/>
          <w:sz w:val="24"/>
          <w:szCs w:val="24"/>
        </w:rPr>
        <w:t>1、比较药物临床前研究、药物临床研究的内容。</w:t>
      </w:r>
    </w:p>
    <w:p>
      <w:pPr>
        <w:rPr>
          <w:rFonts w:cs="Times New Roman" w:asciiTheme="minorEastAsia" w:hAnsiTheme="minorEastAsia"/>
          <w:sz w:val="24"/>
          <w:szCs w:val="24"/>
        </w:rPr>
      </w:pPr>
      <w:r>
        <w:rPr>
          <w:rFonts w:hint="eastAsia" w:cs="Times New Roman" w:asciiTheme="minorEastAsia" w:hAnsiTheme="minorEastAsia"/>
          <w:sz w:val="24"/>
          <w:szCs w:val="24"/>
        </w:rPr>
        <w:t>答：1、</w:t>
      </w:r>
      <w:r>
        <w:rPr>
          <w:rFonts w:cs="Times New Roman" w:asciiTheme="minorEastAsia" w:hAnsiTheme="minorEastAsia"/>
          <w:spacing w:val="8"/>
          <w:sz w:val="24"/>
          <w:szCs w:val="24"/>
        </w:rPr>
        <w:t>药物临床研究</w:t>
      </w:r>
      <w:r>
        <w:rPr>
          <w:rFonts w:hint="eastAsia" w:cs="Times New Roman" w:asciiTheme="minorEastAsia" w:hAnsiTheme="minorEastAsia"/>
          <w:spacing w:val="8"/>
          <w:sz w:val="24"/>
          <w:szCs w:val="24"/>
        </w:rPr>
        <w:t>：</w:t>
      </w:r>
      <w:r>
        <w:rPr>
          <w:rFonts w:cs="Times New Roman" w:asciiTheme="minorEastAsia" w:hAnsiTheme="minorEastAsia"/>
          <w:spacing w:val="8"/>
          <w:sz w:val="24"/>
          <w:szCs w:val="24"/>
        </w:rPr>
        <w:t>包括</w:t>
      </w:r>
      <w:r>
        <w:fldChar w:fldCharType="begin"/>
      </w:r>
      <w:r>
        <w:instrText xml:space="preserve"> HYPERLINK "http://baike.baidu.com/view/419177.htm" \t "_blank" </w:instrText>
      </w:r>
      <w:r>
        <w:fldChar w:fldCharType="separate"/>
      </w:r>
      <w:r>
        <w:rPr>
          <w:rFonts w:cs="Times New Roman" w:asciiTheme="minorEastAsia" w:hAnsiTheme="minorEastAsia"/>
          <w:spacing w:val="8"/>
          <w:sz w:val="24"/>
          <w:szCs w:val="24"/>
        </w:rPr>
        <w:t>临床试验</w:t>
      </w:r>
      <w:r>
        <w:rPr>
          <w:rFonts w:cs="Times New Roman" w:asciiTheme="minorEastAsia" w:hAnsiTheme="minorEastAsia"/>
          <w:spacing w:val="8"/>
          <w:sz w:val="24"/>
          <w:szCs w:val="24"/>
        </w:rPr>
        <w:fldChar w:fldCharType="end"/>
      </w:r>
      <w:r>
        <w:rPr>
          <w:rFonts w:cs="Times New Roman" w:asciiTheme="minorEastAsia" w:hAnsiTheme="minorEastAsia"/>
          <w:spacing w:val="8"/>
          <w:sz w:val="24"/>
          <w:szCs w:val="24"/>
        </w:rPr>
        <w:t>和生物等效性试验。临床试验分为I、II、III、IV期。I期临床试验：初步的</w:t>
      </w:r>
      <w:r>
        <w:fldChar w:fldCharType="begin"/>
      </w:r>
      <w:r>
        <w:instrText xml:space="preserve"> HYPERLINK "http://baike.baidu.com/view/1285833.htm" \t "_blank" </w:instrText>
      </w:r>
      <w:r>
        <w:fldChar w:fldCharType="separate"/>
      </w:r>
      <w:r>
        <w:rPr>
          <w:rFonts w:cs="Times New Roman" w:asciiTheme="minorEastAsia" w:hAnsiTheme="minorEastAsia"/>
          <w:spacing w:val="8"/>
          <w:sz w:val="24"/>
          <w:szCs w:val="24"/>
        </w:rPr>
        <w:t>临床药理学</w:t>
      </w:r>
      <w:r>
        <w:rPr>
          <w:rFonts w:cs="Times New Roman" w:asciiTheme="minorEastAsia" w:hAnsiTheme="minorEastAsia"/>
          <w:spacing w:val="8"/>
          <w:sz w:val="24"/>
          <w:szCs w:val="24"/>
        </w:rPr>
        <w:fldChar w:fldCharType="end"/>
      </w:r>
      <w:r>
        <w:rPr>
          <w:rFonts w:cs="Times New Roman" w:asciiTheme="minorEastAsia" w:hAnsiTheme="minorEastAsia"/>
          <w:spacing w:val="8"/>
          <w:sz w:val="24"/>
          <w:szCs w:val="24"/>
        </w:rPr>
        <w:t>及人体安全性评价试验。II期临床试验：治疗作用初步评价阶段。III期临床试验：治疗作用确证阶段。IV期临床试验：新药上市后</w:t>
      </w:r>
      <w:r>
        <w:rPr>
          <w:rFonts w:cs="Times New Roman" w:asciiTheme="minorEastAsia" w:hAnsiTheme="minorEastAsia"/>
          <w:sz w:val="24"/>
          <w:szCs w:val="24"/>
        </w:rPr>
        <w:t>应用研究阶段。生物等效性试验，是指用生物利用度研究的方法，以药代动力学参数为指标，比较同一种药物的相同或者不同剂型的制剂，在相同的试验条件下，其活性成份吸收程度和速度有无统计学差异的人体试验。</w:t>
      </w:r>
    </w:p>
    <w:p>
      <w:pPr>
        <w:rPr>
          <w:rFonts w:cs="Times New Roman" w:asciiTheme="minorEastAsia" w:hAnsiTheme="minorEastAsia"/>
          <w:sz w:val="24"/>
          <w:szCs w:val="24"/>
        </w:rPr>
      </w:pPr>
      <w:r>
        <w:rPr>
          <w:rFonts w:hint="eastAsia" w:cs="Times New Roman" w:asciiTheme="minorEastAsia" w:hAnsiTheme="minorEastAsia"/>
          <w:sz w:val="24"/>
          <w:szCs w:val="24"/>
        </w:rPr>
        <w:t xml:space="preserve">   2、药物临床前研究：可概括为三方面：（1）文献研究 包括药品名称和命名依据，立题目的与依据。（2）药学研究 原料药工艺研究，制剂处方及工艺研究，确证化学结构或组分的试验，药品质量试验，药品标准起草及说明，样品检验，辅料，稳定性试验，包装材料和容器有关试验等。（3）药理毒理研究 一般为药理试验，主要药效学试验、急性毒性试验，长期毒性试验，过敏性、溶血性和局部刺激试验、致突变试验、生殖毒性试验、致癌性试验，依赖性试验，动物药代动力学试验等。</w:t>
      </w:r>
    </w:p>
    <w:p>
      <w:pPr>
        <w:rPr>
          <w:rFonts w:cs="Times New Roman" w:asciiTheme="minorEastAsia" w:hAnsiTheme="minorEastAsia"/>
          <w:sz w:val="24"/>
          <w:szCs w:val="24"/>
        </w:rPr>
      </w:pPr>
    </w:p>
    <w:p>
      <w:pPr>
        <w:rPr>
          <w:rFonts w:asciiTheme="minorEastAsia" w:hAnsiTheme="minorEastAsia"/>
          <w:sz w:val="24"/>
          <w:szCs w:val="24"/>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swiss"/>
    <w:pitch w:val="default"/>
    <w:sig w:usb0="E0002AFF" w:usb1="C0007843"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A4F74"/>
    <w:rsid w:val="00080FB4"/>
    <w:rsid w:val="001E4325"/>
    <w:rsid w:val="00203B7D"/>
    <w:rsid w:val="002D273B"/>
    <w:rsid w:val="004A4F74"/>
    <w:rsid w:val="00B34655"/>
    <w:rsid w:val="197D395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unhideWhenUsed/>
    <w:uiPriority w:val="99"/>
    <w:pPr>
      <w:tabs>
        <w:tab w:val="center" w:pos="4153"/>
        <w:tab w:val="right" w:pos="8306"/>
      </w:tabs>
      <w:snapToGrid w:val="0"/>
      <w:jc w:val="left"/>
    </w:pPr>
    <w:rPr>
      <w:sz w:val="18"/>
      <w:szCs w:val="18"/>
    </w:rPr>
  </w:style>
  <w:style w:type="paragraph" w:styleId="3">
    <w:name w:val="header"/>
    <w:basedOn w:val="1"/>
    <w:link w:val="6"/>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uiPriority w:val="99"/>
    <w:rPr>
      <w:sz w:val="18"/>
      <w:szCs w:val="18"/>
    </w:rPr>
  </w:style>
  <w:style w:type="character" w:customStyle="1" w:styleId="7">
    <w:name w:val="页脚 Char"/>
    <w:basedOn w:val="5"/>
    <w:link w:val="2"/>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Pages>
  <Words>261</Words>
  <Characters>1491</Characters>
  <Lines>12</Lines>
  <Paragraphs>3</Paragraphs>
  <TotalTime>8</TotalTime>
  <ScaleCrop>false</ScaleCrop>
  <LinksUpToDate>false</LinksUpToDate>
  <CharactersWithSpaces>1749</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2019-04-04T04:50:00Z</dcterms:created>
  <dc:creator>yuxiang</dc:creator>
  <cp:lastModifiedBy>罗超群</cp:lastModifiedBy>
  <dcterms:modified xsi:type="dcterms:W3CDTF">2019-12-09T08:01:36Z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