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3C2D43">
      <w:pPr>
        <w:rPr>
          <w:rFonts w:hint="eastAsia"/>
          <w:lang w:val="en-US" w:eastAsia="zh-CN"/>
        </w:rPr>
      </w:pPr>
      <w:r>
        <w:rPr>
          <w:rFonts w:hint="eastAsia"/>
          <w:lang w:val="en-US" w:eastAsia="zh-CN"/>
        </w:rPr>
        <w:t>药事管理学复习资料</w:t>
      </w:r>
    </w:p>
    <w:p w14:paraId="00F5C608">
      <w:pPr>
        <w:rPr>
          <w:rFonts w:ascii="宋体" w:hAnsi="宋体"/>
          <w:snapToGrid w:val="0"/>
          <w:kern w:val="0"/>
          <w:szCs w:val="21"/>
        </w:rPr>
      </w:pPr>
      <w:r>
        <w:rPr>
          <w:rFonts w:ascii="宋体" w:hAnsi="宋体"/>
          <w:b/>
          <w:snapToGrid w:val="0"/>
          <w:kern w:val="0"/>
          <w:szCs w:val="21"/>
        </w:rPr>
        <w:t>一、单项选择题</w:t>
      </w:r>
      <w:r>
        <w:rPr>
          <w:rFonts w:ascii="宋体" w:hAnsi="宋体"/>
          <w:snapToGrid w:val="0"/>
          <w:kern w:val="0"/>
          <w:szCs w:val="21"/>
        </w:rPr>
        <w:t xml:space="preserve">（   ）1.设定和实施行政许可的原则，不包括的是    </w:t>
      </w:r>
    </w:p>
    <w:p w14:paraId="4D855C56">
      <w:pPr>
        <w:rPr>
          <w:rFonts w:ascii="宋体" w:hAnsi="宋体"/>
          <w:snapToGrid w:val="0"/>
          <w:kern w:val="0"/>
          <w:szCs w:val="21"/>
        </w:rPr>
      </w:pPr>
      <w:r>
        <w:rPr>
          <w:rFonts w:ascii="宋体" w:hAnsi="宋体"/>
          <w:snapToGrid w:val="0"/>
          <w:kern w:val="0"/>
          <w:szCs w:val="21"/>
        </w:rPr>
        <w:t xml:space="preserve">A 法定原则           B 便民与效率原则                C 权利和义务对等原则    </w:t>
      </w:r>
    </w:p>
    <w:p w14:paraId="04B890C0">
      <w:pPr>
        <w:rPr>
          <w:rFonts w:ascii="宋体" w:hAnsi="宋体"/>
          <w:snapToGrid w:val="0"/>
          <w:kern w:val="0"/>
          <w:szCs w:val="21"/>
        </w:rPr>
      </w:pPr>
      <w:r>
        <w:rPr>
          <w:rFonts w:ascii="宋体" w:hAnsi="宋体"/>
          <w:snapToGrid w:val="0"/>
          <w:kern w:val="0"/>
          <w:szCs w:val="21"/>
        </w:rPr>
        <w:t>D 信赖保护原则       E 公开、公平、公正原则</w:t>
      </w:r>
    </w:p>
    <w:p w14:paraId="42662249">
      <w:pPr>
        <w:rPr>
          <w:rFonts w:ascii="宋体" w:hAnsi="宋体"/>
          <w:snapToGrid w:val="0"/>
          <w:kern w:val="0"/>
          <w:szCs w:val="21"/>
        </w:rPr>
      </w:pPr>
      <w:r>
        <w:rPr>
          <w:rFonts w:ascii="宋体" w:hAnsi="宋体"/>
          <w:snapToGrid w:val="0"/>
          <w:kern w:val="0"/>
          <w:szCs w:val="21"/>
        </w:rPr>
        <w:t xml:space="preserve">（   ）2.关于药品飞行检查的叙述，下列错误的是    </w:t>
      </w:r>
    </w:p>
    <w:p w14:paraId="21B395FC">
      <w:pPr>
        <w:rPr>
          <w:rFonts w:ascii="宋体" w:hAnsi="宋体"/>
          <w:snapToGrid w:val="0"/>
          <w:kern w:val="0"/>
          <w:szCs w:val="21"/>
        </w:rPr>
      </w:pPr>
      <w:r>
        <w:rPr>
          <w:rFonts w:ascii="宋体" w:hAnsi="宋体"/>
          <w:snapToGrid w:val="0"/>
          <w:kern w:val="0"/>
          <w:szCs w:val="21"/>
        </w:rPr>
        <w:t xml:space="preserve">A 依法独立                       B 客观公正              C 科学处置      </w:t>
      </w:r>
    </w:p>
    <w:p w14:paraId="12677133">
      <w:pPr>
        <w:rPr>
          <w:rFonts w:ascii="宋体" w:hAnsi="宋体"/>
          <w:snapToGrid w:val="0"/>
          <w:kern w:val="0"/>
          <w:szCs w:val="21"/>
        </w:rPr>
      </w:pPr>
      <w:r>
        <w:rPr>
          <w:rFonts w:ascii="宋体" w:hAnsi="宋体"/>
          <w:snapToGrid w:val="0"/>
          <w:kern w:val="0"/>
          <w:szCs w:val="21"/>
        </w:rPr>
        <w:t>D 提前通知检查单位予以配合       E 不预先告知的突击检查或暗访调查</w:t>
      </w:r>
    </w:p>
    <w:p w14:paraId="58D6E235">
      <w:pPr>
        <w:rPr>
          <w:rFonts w:ascii="宋体" w:hAnsi="宋体"/>
          <w:snapToGrid w:val="0"/>
          <w:kern w:val="0"/>
          <w:szCs w:val="21"/>
        </w:rPr>
      </w:pPr>
      <w:r>
        <w:rPr>
          <w:rFonts w:ascii="宋体" w:hAnsi="宋体"/>
          <w:snapToGrid w:val="0"/>
          <w:kern w:val="0"/>
          <w:szCs w:val="21"/>
        </w:rPr>
        <w:t xml:space="preserve">（   ）3.国家基本药物目录的遴选原则不包括   </w:t>
      </w:r>
    </w:p>
    <w:p w14:paraId="1544DFE2">
      <w:pPr>
        <w:rPr>
          <w:rFonts w:ascii="宋体" w:hAnsi="宋体"/>
          <w:snapToGrid w:val="0"/>
          <w:kern w:val="0"/>
          <w:szCs w:val="21"/>
        </w:rPr>
      </w:pPr>
      <w:r>
        <w:rPr>
          <w:rFonts w:ascii="宋体" w:hAnsi="宋体"/>
          <w:snapToGrid w:val="0"/>
          <w:kern w:val="0"/>
          <w:szCs w:val="21"/>
        </w:rPr>
        <w:t>A 防治必需    B 临床首选    C 价格便宜    D 使用方便    E 中西药并重</w:t>
      </w:r>
    </w:p>
    <w:p w14:paraId="15124AC0">
      <w:pPr>
        <w:rPr>
          <w:rFonts w:ascii="宋体" w:hAnsi="宋体"/>
          <w:snapToGrid w:val="0"/>
          <w:kern w:val="0"/>
          <w:szCs w:val="21"/>
        </w:rPr>
      </w:pPr>
      <w:r>
        <w:rPr>
          <w:rFonts w:ascii="宋体" w:hAnsi="宋体"/>
          <w:snapToGrid w:val="0"/>
          <w:kern w:val="0"/>
          <w:szCs w:val="21"/>
        </w:rPr>
        <w:t xml:space="preserve">（   ）4.基本药物管理的原则，下列叙述正确的是  </w:t>
      </w:r>
    </w:p>
    <w:p w14:paraId="585F043C">
      <w:pPr>
        <w:rPr>
          <w:rFonts w:ascii="宋体" w:hAnsi="宋体"/>
          <w:snapToGrid w:val="0"/>
          <w:kern w:val="0"/>
          <w:szCs w:val="21"/>
        </w:rPr>
      </w:pPr>
      <w:r>
        <w:rPr>
          <w:rFonts w:ascii="宋体" w:hAnsi="宋体"/>
          <w:snapToGrid w:val="0"/>
          <w:kern w:val="0"/>
          <w:szCs w:val="21"/>
        </w:rPr>
        <w:t>A 价格优先、质量合理          B 优先选择、合理使用</w:t>
      </w:r>
    </w:p>
    <w:p w14:paraId="5F127237">
      <w:pPr>
        <w:rPr>
          <w:rFonts w:ascii="宋体" w:hAnsi="宋体"/>
          <w:snapToGrid w:val="0"/>
          <w:kern w:val="0"/>
          <w:szCs w:val="21"/>
        </w:rPr>
      </w:pPr>
      <w:r>
        <w:rPr>
          <w:rFonts w:ascii="宋体" w:hAnsi="宋体"/>
          <w:snapToGrid w:val="0"/>
          <w:kern w:val="0"/>
          <w:szCs w:val="21"/>
        </w:rPr>
        <w:t>C 以奖代补、全部报销          D 强制采购、优先使用</w:t>
      </w:r>
    </w:p>
    <w:p w14:paraId="2918725A">
      <w:pPr>
        <w:rPr>
          <w:rFonts w:ascii="宋体" w:hAnsi="宋体"/>
          <w:snapToGrid w:val="0"/>
          <w:kern w:val="0"/>
          <w:szCs w:val="21"/>
        </w:rPr>
      </w:pPr>
      <w:r>
        <w:rPr>
          <w:rFonts w:ascii="宋体" w:hAnsi="宋体"/>
          <w:snapToGrid w:val="0"/>
          <w:kern w:val="0"/>
          <w:szCs w:val="21"/>
        </w:rPr>
        <w:t>E 以奖代补、全额报销</w:t>
      </w:r>
    </w:p>
    <w:p w14:paraId="7B4F1B50">
      <w:pPr>
        <w:rPr>
          <w:rFonts w:ascii="宋体" w:hAnsi="宋体"/>
          <w:snapToGrid w:val="0"/>
          <w:kern w:val="0"/>
          <w:szCs w:val="21"/>
        </w:rPr>
      </w:pPr>
      <w:r>
        <w:rPr>
          <w:rFonts w:ascii="宋体" w:hAnsi="宋体"/>
          <w:snapToGrid w:val="0"/>
          <w:kern w:val="0"/>
          <w:szCs w:val="21"/>
        </w:rPr>
        <w:t xml:space="preserve">（   ）5.对药品分别按处方药和非处方药进行分类管理，是根据    </w:t>
      </w:r>
    </w:p>
    <w:p w14:paraId="238AB322">
      <w:pPr>
        <w:rPr>
          <w:rFonts w:ascii="宋体" w:hAnsi="宋体"/>
          <w:snapToGrid w:val="0"/>
          <w:kern w:val="0"/>
          <w:szCs w:val="21"/>
        </w:rPr>
      </w:pPr>
      <w:r>
        <w:rPr>
          <w:rFonts w:ascii="宋体" w:hAnsi="宋体"/>
          <w:snapToGrid w:val="0"/>
          <w:kern w:val="0"/>
          <w:szCs w:val="21"/>
        </w:rPr>
        <w:t>A 药品品种、规格、适应症、剂型及给药途径的不同</w:t>
      </w:r>
    </w:p>
    <w:p w14:paraId="39E74CAA">
      <w:pPr>
        <w:rPr>
          <w:rFonts w:ascii="宋体" w:hAnsi="宋体"/>
          <w:snapToGrid w:val="0"/>
          <w:kern w:val="0"/>
          <w:szCs w:val="21"/>
        </w:rPr>
      </w:pPr>
      <w:r>
        <w:rPr>
          <w:rFonts w:ascii="宋体" w:hAnsi="宋体"/>
          <w:snapToGrid w:val="0"/>
          <w:kern w:val="0"/>
          <w:szCs w:val="21"/>
        </w:rPr>
        <w:t>B 药品类别、规格、适应症、剂量及给药途径的不同</w:t>
      </w:r>
    </w:p>
    <w:p w14:paraId="133C2F31">
      <w:pPr>
        <w:rPr>
          <w:rFonts w:ascii="宋体" w:hAnsi="宋体"/>
          <w:snapToGrid w:val="0"/>
          <w:kern w:val="0"/>
          <w:szCs w:val="21"/>
        </w:rPr>
      </w:pPr>
      <w:r>
        <w:rPr>
          <w:rFonts w:ascii="宋体" w:hAnsi="宋体"/>
          <w:snapToGrid w:val="0"/>
          <w:kern w:val="0"/>
          <w:szCs w:val="21"/>
        </w:rPr>
        <w:t>C 药品品种、规格、适应症、剂量及给药途径的不同</w:t>
      </w:r>
    </w:p>
    <w:p w14:paraId="4D44D6B2">
      <w:pPr>
        <w:rPr>
          <w:rFonts w:ascii="宋体" w:hAnsi="宋体"/>
          <w:snapToGrid w:val="0"/>
          <w:kern w:val="0"/>
          <w:szCs w:val="21"/>
        </w:rPr>
      </w:pPr>
      <w:r>
        <w:rPr>
          <w:rFonts w:ascii="宋体" w:hAnsi="宋体"/>
          <w:snapToGrid w:val="0"/>
          <w:kern w:val="0"/>
          <w:szCs w:val="21"/>
        </w:rPr>
        <w:t>D 药品品种、包装、适应症、剂型及给药途径的不同</w:t>
      </w:r>
    </w:p>
    <w:p w14:paraId="3F8C0F9D">
      <w:pPr>
        <w:rPr>
          <w:rFonts w:ascii="宋体" w:hAnsi="宋体"/>
          <w:snapToGrid w:val="0"/>
          <w:kern w:val="0"/>
          <w:szCs w:val="21"/>
        </w:rPr>
      </w:pPr>
      <w:r>
        <w:rPr>
          <w:rFonts w:ascii="宋体" w:hAnsi="宋体"/>
          <w:snapToGrid w:val="0"/>
          <w:kern w:val="0"/>
          <w:szCs w:val="21"/>
        </w:rPr>
        <w:t>E 药品类别、包装、适应症、剂量及给药途径的不同</w:t>
      </w:r>
    </w:p>
    <w:p w14:paraId="21B23D0D">
      <w:pPr>
        <w:rPr>
          <w:rFonts w:ascii="宋体" w:hAnsi="宋体"/>
          <w:snapToGrid w:val="0"/>
          <w:kern w:val="0"/>
          <w:szCs w:val="21"/>
        </w:rPr>
      </w:pPr>
      <w:r>
        <w:rPr>
          <w:rFonts w:ascii="宋体" w:hAnsi="宋体"/>
          <w:snapToGrid w:val="0"/>
          <w:kern w:val="0"/>
          <w:szCs w:val="21"/>
        </w:rPr>
        <w:t xml:space="preserve">（   ）6.甲类非处方药的图案为    </w:t>
      </w:r>
    </w:p>
    <w:p w14:paraId="686474F0">
      <w:pPr>
        <w:rPr>
          <w:rFonts w:ascii="宋体" w:hAnsi="宋体"/>
          <w:snapToGrid w:val="0"/>
          <w:kern w:val="0"/>
          <w:szCs w:val="21"/>
        </w:rPr>
      </w:pPr>
      <w:r>
        <w:rPr>
          <w:rFonts w:ascii="宋体" w:hAnsi="宋体"/>
          <w:snapToGrid w:val="0"/>
          <w:kern w:val="0"/>
          <w:szCs w:val="21"/>
        </w:rPr>
        <w:t>A 红底白字    B 白底红字   C 绿底白字    D 白底绿字    E 黑字</w:t>
      </w:r>
    </w:p>
    <w:p w14:paraId="156E3AB5">
      <w:pPr>
        <w:rPr>
          <w:rFonts w:ascii="宋体" w:hAnsi="宋体"/>
          <w:snapToGrid w:val="0"/>
          <w:kern w:val="0"/>
          <w:szCs w:val="21"/>
        </w:rPr>
      </w:pPr>
      <w:r>
        <w:rPr>
          <w:rFonts w:ascii="宋体" w:hAnsi="宋体"/>
          <w:snapToGrid w:val="0"/>
          <w:kern w:val="0"/>
          <w:szCs w:val="21"/>
        </w:rPr>
        <w:t xml:space="preserve">（   ）7.中国药学会的简称为    </w:t>
      </w:r>
    </w:p>
    <w:p w14:paraId="642B1CEE">
      <w:pPr>
        <w:rPr>
          <w:rFonts w:ascii="宋体" w:hAnsi="宋体"/>
          <w:snapToGrid w:val="0"/>
          <w:kern w:val="0"/>
          <w:szCs w:val="21"/>
        </w:rPr>
      </w:pPr>
      <w:r>
        <w:rPr>
          <w:rFonts w:ascii="宋体" w:hAnsi="宋体"/>
          <w:snapToGrid w:val="0"/>
          <w:kern w:val="0"/>
          <w:szCs w:val="21"/>
        </w:rPr>
        <w:t>A  FIP      B  AFMC     C  CPA         D  CPIA</w:t>
      </w:r>
    </w:p>
    <w:p w14:paraId="18E5006E">
      <w:pPr>
        <w:rPr>
          <w:rFonts w:ascii="宋体" w:hAnsi="宋体"/>
          <w:snapToGrid w:val="0"/>
          <w:kern w:val="0"/>
          <w:szCs w:val="21"/>
        </w:rPr>
      </w:pPr>
      <w:r>
        <w:rPr>
          <w:rFonts w:ascii="宋体" w:hAnsi="宋体"/>
          <w:snapToGrid w:val="0"/>
          <w:kern w:val="0"/>
          <w:szCs w:val="21"/>
        </w:rPr>
        <w:t xml:space="preserve">（   ）8.药学类专业本科毕业，需要从事本专业工作满____年才能参加执业药师考试  </w:t>
      </w:r>
    </w:p>
    <w:p w14:paraId="1C7EC015">
      <w:pPr>
        <w:rPr>
          <w:rFonts w:ascii="宋体" w:hAnsi="宋体"/>
          <w:snapToGrid w:val="0"/>
          <w:kern w:val="0"/>
          <w:szCs w:val="21"/>
        </w:rPr>
      </w:pPr>
      <w:r>
        <w:rPr>
          <w:rFonts w:ascii="宋体" w:hAnsi="宋体"/>
          <w:snapToGrid w:val="0"/>
          <w:kern w:val="0"/>
          <w:szCs w:val="21"/>
        </w:rPr>
        <w:t>A  1年    B  2年    C  3年     D  4年    E  5年</w:t>
      </w:r>
    </w:p>
    <w:p w14:paraId="5288A762">
      <w:pPr>
        <w:rPr>
          <w:rFonts w:ascii="宋体" w:hAnsi="宋体"/>
          <w:snapToGrid w:val="0"/>
          <w:kern w:val="0"/>
          <w:szCs w:val="21"/>
        </w:rPr>
      </w:pPr>
      <w:r>
        <w:rPr>
          <w:rFonts w:ascii="宋体" w:hAnsi="宋体"/>
          <w:snapToGrid w:val="0"/>
          <w:kern w:val="0"/>
          <w:szCs w:val="21"/>
        </w:rPr>
        <w:t xml:space="preserve">（   ）9.关于执业药师职业资格考试的叙述，下列错误的是   </w:t>
      </w:r>
    </w:p>
    <w:p w14:paraId="1A1E8A33">
      <w:pPr>
        <w:rPr>
          <w:rFonts w:ascii="宋体" w:hAnsi="宋体"/>
          <w:snapToGrid w:val="0"/>
          <w:kern w:val="0"/>
          <w:szCs w:val="21"/>
        </w:rPr>
      </w:pPr>
      <w:r>
        <w:rPr>
          <w:rFonts w:ascii="宋体" w:hAnsi="宋体"/>
          <w:snapToGrid w:val="0"/>
          <w:kern w:val="0"/>
          <w:szCs w:val="21"/>
        </w:rPr>
        <w:t>A 是全国统一大纲、统一命题、统一组织的考试。</w:t>
      </w:r>
    </w:p>
    <w:p w14:paraId="50289EED">
      <w:pPr>
        <w:rPr>
          <w:rFonts w:ascii="宋体" w:hAnsi="宋体"/>
          <w:snapToGrid w:val="0"/>
          <w:kern w:val="0"/>
          <w:szCs w:val="21"/>
        </w:rPr>
      </w:pPr>
      <w:r>
        <w:rPr>
          <w:rFonts w:ascii="宋体" w:hAnsi="宋体"/>
          <w:snapToGrid w:val="0"/>
          <w:kern w:val="0"/>
          <w:szCs w:val="21"/>
        </w:rPr>
        <w:t>B 考试合格者，被颁发《执业药师职业资格证书》。</w:t>
      </w:r>
    </w:p>
    <w:p w14:paraId="642A141D">
      <w:pPr>
        <w:rPr>
          <w:rFonts w:ascii="宋体" w:hAnsi="宋体"/>
          <w:snapToGrid w:val="0"/>
          <w:kern w:val="0"/>
          <w:szCs w:val="21"/>
        </w:rPr>
      </w:pPr>
      <w:r>
        <w:rPr>
          <w:rFonts w:ascii="宋体" w:hAnsi="宋体"/>
          <w:snapToGrid w:val="0"/>
          <w:kern w:val="0"/>
          <w:szCs w:val="21"/>
        </w:rPr>
        <w:t>C 该证书由国家药监局、人力资源和社会保障部共同用印。</w:t>
      </w:r>
    </w:p>
    <w:p w14:paraId="46C79A9F">
      <w:pPr>
        <w:rPr>
          <w:rFonts w:ascii="宋体" w:hAnsi="宋体"/>
          <w:snapToGrid w:val="0"/>
          <w:kern w:val="0"/>
          <w:szCs w:val="21"/>
        </w:rPr>
      </w:pPr>
      <w:r>
        <w:rPr>
          <w:rFonts w:ascii="宋体" w:hAnsi="宋体"/>
          <w:snapToGrid w:val="0"/>
          <w:kern w:val="0"/>
          <w:szCs w:val="21"/>
        </w:rPr>
        <w:t>D 执业药师职业资格证书在本省行政范围内有效。</w:t>
      </w:r>
    </w:p>
    <w:p w14:paraId="30664368">
      <w:pPr>
        <w:rPr>
          <w:rFonts w:ascii="宋体" w:hAnsi="宋体"/>
          <w:snapToGrid w:val="0"/>
          <w:kern w:val="0"/>
          <w:szCs w:val="21"/>
        </w:rPr>
      </w:pPr>
      <w:r>
        <w:rPr>
          <w:rFonts w:ascii="宋体" w:hAnsi="宋体"/>
          <w:snapToGrid w:val="0"/>
          <w:kern w:val="0"/>
          <w:szCs w:val="21"/>
        </w:rPr>
        <w:t>E 报考条件之一是中国公民和获准在我国境内就业的外籍人员。</w:t>
      </w:r>
    </w:p>
    <w:p w14:paraId="598B2C79">
      <w:pPr>
        <w:rPr>
          <w:rFonts w:ascii="宋体" w:hAnsi="宋体"/>
          <w:snapToGrid w:val="0"/>
          <w:kern w:val="0"/>
          <w:szCs w:val="21"/>
        </w:rPr>
      </w:pPr>
      <w:r>
        <w:rPr>
          <w:rFonts w:ascii="宋体" w:hAnsi="宋体"/>
          <w:snapToGrid w:val="0"/>
          <w:kern w:val="0"/>
          <w:szCs w:val="21"/>
        </w:rPr>
        <w:t xml:space="preserve">（   ）10. 2019版《药品管理法》规定，新发现和从境外引种的药材，经_______批准后，方可销售。   </w:t>
      </w:r>
    </w:p>
    <w:p w14:paraId="201A807B">
      <w:pPr>
        <w:rPr>
          <w:rFonts w:ascii="宋体" w:hAnsi="宋体"/>
          <w:snapToGrid w:val="0"/>
          <w:kern w:val="0"/>
          <w:szCs w:val="21"/>
        </w:rPr>
      </w:pPr>
      <w:r>
        <w:rPr>
          <w:rFonts w:ascii="宋体" w:hAnsi="宋体"/>
          <w:snapToGrid w:val="0"/>
          <w:kern w:val="0"/>
          <w:szCs w:val="21"/>
        </w:rPr>
        <w:t>A 国家药监局                         B 国家中医药管理局</w:t>
      </w:r>
    </w:p>
    <w:p w14:paraId="0F9E482A">
      <w:pPr>
        <w:rPr>
          <w:rFonts w:ascii="宋体" w:hAnsi="宋体"/>
          <w:snapToGrid w:val="0"/>
          <w:kern w:val="0"/>
          <w:szCs w:val="21"/>
        </w:rPr>
      </w:pPr>
      <w:r>
        <w:rPr>
          <w:rFonts w:ascii="宋体" w:hAnsi="宋体"/>
          <w:snapToGrid w:val="0"/>
          <w:kern w:val="0"/>
          <w:szCs w:val="21"/>
        </w:rPr>
        <w:t xml:space="preserve">C 省级药监局                         D  地级市药品监督管理部门      </w:t>
      </w:r>
    </w:p>
    <w:p w14:paraId="3B5C9E81">
      <w:pPr>
        <w:rPr>
          <w:rFonts w:ascii="宋体" w:hAnsi="宋体"/>
          <w:snapToGrid w:val="0"/>
          <w:kern w:val="0"/>
          <w:szCs w:val="21"/>
        </w:rPr>
      </w:pPr>
      <w:r>
        <w:rPr>
          <w:rFonts w:ascii="宋体" w:hAnsi="宋体"/>
          <w:snapToGrid w:val="0"/>
          <w:kern w:val="0"/>
          <w:szCs w:val="21"/>
        </w:rPr>
        <w:t>E 县级以上药品监督管理部门</w:t>
      </w:r>
    </w:p>
    <w:p w14:paraId="4A32914E">
      <w:pPr>
        <w:rPr>
          <w:rFonts w:ascii="宋体" w:hAnsi="宋体"/>
          <w:snapToGrid w:val="0"/>
          <w:kern w:val="0"/>
          <w:szCs w:val="21"/>
        </w:rPr>
      </w:pPr>
      <w:r>
        <w:rPr>
          <w:rFonts w:ascii="宋体" w:hAnsi="宋体"/>
          <w:snapToGrid w:val="0"/>
          <w:kern w:val="0"/>
          <w:szCs w:val="21"/>
        </w:rPr>
        <w:t xml:space="preserve">（   ）11. 《药品管理法》2019版规定，生产、销售假药，或者生产、销售劣药且情节严重的，对法定代表人、主要负责人、直接负责的主管人员和其他责任人员，没收违法行为发生期间自本单位所获收入，并处所获收入_____以上______倍以下的罚款，终身禁止从事药品生产经营活动，并可以由公安机关处    ______日以上_______日以下的拘留。  </w:t>
      </w:r>
    </w:p>
    <w:p w14:paraId="3FCECB3C">
      <w:pPr>
        <w:rPr>
          <w:rFonts w:ascii="宋体" w:hAnsi="宋体"/>
          <w:snapToGrid w:val="0"/>
          <w:kern w:val="0"/>
          <w:szCs w:val="21"/>
        </w:rPr>
      </w:pPr>
      <w:r>
        <w:rPr>
          <w:rFonts w:ascii="宋体" w:hAnsi="宋体"/>
          <w:snapToGrid w:val="0"/>
          <w:kern w:val="0"/>
          <w:szCs w:val="21"/>
        </w:rPr>
        <w:t xml:space="preserve">A  30%，3，10，15            B  50%，3，10，15            C  50%，3，5，15     </w:t>
      </w:r>
    </w:p>
    <w:p w14:paraId="11CBEC1E">
      <w:pPr>
        <w:rPr>
          <w:rFonts w:ascii="宋体" w:hAnsi="宋体"/>
          <w:snapToGrid w:val="0"/>
          <w:kern w:val="0"/>
          <w:szCs w:val="21"/>
        </w:rPr>
      </w:pPr>
      <w:r>
        <w:rPr>
          <w:rFonts w:ascii="宋体" w:hAnsi="宋体"/>
          <w:snapToGrid w:val="0"/>
          <w:kern w:val="0"/>
          <w:szCs w:val="21"/>
        </w:rPr>
        <w:t xml:space="preserve">D  30%，3，5，15             E  1，3，10，15  </w:t>
      </w:r>
    </w:p>
    <w:p w14:paraId="43E04DA2">
      <w:pPr>
        <w:rPr>
          <w:rFonts w:ascii="宋体" w:hAnsi="宋体"/>
          <w:snapToGrid w:val="0"/>
          <w:kern w:val="0"/>
          <w:szCs w:val="21"/>
        </w:rPr>
      </w:pPr>
      <w:r>
        <w:rPr>
          <w:rFonts w:ascii="宋体" w:hAnsi="宋体"/>
          <w:snapToGrid w:val="0"/>
          <w:kern w:val="0"/>
          <w:szCs w:val="21"/>
        </w:rPr>
        <w:t xml:space="preserve">（   ）12.下列关于各期临床试验病例数的要求，叙述不正确的是    </w:t>
      </w:r>
    </w:p>
    <w:p w14:paraId="7E0932F0">
      <w:pPr>
        <w:rPr>
          <w:rFonts w:ascii="宋体" w:hAnsi="宋体"/>
          <w:snapToGrid w:val="0"/>
          <w:kern w:val="0"/>
          <w:szCs w:val="21"/>
        </w:rPr>
      </w:pPr>
      <w:r>
        <w:rPr>
          <w:rFonts w:ascii="宋体" w:hAnsi="宋体"/>
          <w:snapToGrid w:val="0"/>
          <w:kern w:val="0"/>
          <w:szCs w:val="21"/>
        </w:rPr>
        <w:t xml:space="preserve">A  II期临床试验的病例数不得少于100例       </w:t>
      </w:r>
    </w:p>
    <w:p w14:paraId="2D53329B">
      <w:pPr>
        <w:rPr>
          <w:rFonts w:ascii="宋体" w:hAnsi="宋体"/>
          <w:snapToGrid w:val="0"/>
          <w:kern w:val="0"/>
          <w:szCs w:val="21"/>
        </w:rPr>
      </w:pPr>
      <w:r>
        <w:rPr>
          <w:rFonts w:ascii="宋体" w:hAnsi="宋体"/>
          <w:snapToGrid w:val="0"/>
          <w:kern w:val="0"/>
          <w:szCs w:val="21"/>
        </w:rPr>
        <w:t>B  I期临床试验的病例数不得少于20-30例</w:t>
      </w:r>
    </w:p>
    <w:p w14:paraId="3C32447E">
      <w:pPr>
        <w:rPr>
          <w:rFonts w:ascii="宋体" w:hAnsi="宋体"/>
          <w:snapToGrid w:val="0"/>
          <w:kern w:val="0"/>
          <w:szCs w:val="21"/>
        </w:rPr>
      </w:pPr>
      <w:r>
        <w:rPr>
          <w:rFonts w:ascii="宋体" w:hAnsi="宋体"/>
          <w:snapToGrid w:val="0"/>
          <w:kern w:val="0"/>
          <w:szCs w:val="21"/>
        </w:rPr>
        <w:t xml:space="preserve">C  III期临床试验的病例数不得少于300例      </w:t>
      </w:r>
    </w:p>
    <w:p w14:paraId="2DA3476A">
      <w:pPr>
        <w:rPr>
          <w:rFonts w:ascii="宋体" w:hAnsi="宋体"/>
          <w:snapToGrid w:val="0"/>
          <w:kern w:val="0"/>
          <w:szCs w:val="21"/>
        </w:rPr>
      </w:pPr>
      <w:r>
        <w:rPr>
          <w:rFonts w:ascii="宋体" w:hAnsi="宋体"/>
          <w:snapToGrid w:val="0"/>
          <w:kern w:val="0"/>
          <w:szCs w:val="21"/>
        </w:rPr>
        <w:t xml:space="preserve">D  IV期临床试验的病例数不得少于2000例 </w:t>
      </w:r>
    </w:p>
    <w:p w14:paraId="764EFB6A">
      <w:pPr>
        <w:rPr>
          <w:rFonts w:ascii="宋体" w:hAnsi="宋体"/>
          <w:snapToGrid w:val="0"/>
          <w:kern w:val="0"/>
          <w:szCs w:val="21"/>
        </w:rPr>
      </w:pPr>
      <w:r>
        <w:rPr>
          <w:rFonts w:ascii="宋体" w:hAnsi="宋体"/>
          <w:snapToGrid w:val="0"/>
          <w:kern w:val="0"/>
          <w:szCs w:val="21"/>
        </w:rPr>
        <w:t>E  I期临床试验病例数不得少于100例</w:t>
      </w:r>
    </w:p>
    <w:p w14:paraId="64998956">
      <w:pPr>
        <w:rPr>
          <w:rFonts w:ascii="宋体" w:hAnsi="宋体"/>
          <w:snapToGrid w:val="0"/>
          <w:kern w:val="0"/>
          <w:szCs w:val="21"/>
        </w:rPr>
      </w:pPr>
      <w:r>
        <w:rPr>
          <w:rFonts w:ascii="宋体" w:hAnsi="宋体"/>
          <w:snapToGrid w:val="0"/>
          <w:kern w:val="0"/>
          <w:szCs w:val="21"/>
        </w:rPr>
        <w:t xml:space="preserve">（   ）13.药品批准文号的有效期是    </w:t>
      </w:r>
    </w:p>
    <w:p w14:paraId="450AECDC">
      <w:pPr>
        <w:rPr>
          <w:rFonts w:ascii="宋体" w:hAnsi="宋体"/>
          <w:snapToGrid w:val="0"/>
          <w:kern w:val="0"/>
          <w:szCs w:val="21"/>
        </w:rPr>
      </w:pPr>
      <w:r>
        <w:rPr>
          <w:rFonts w:ascii="宋体" w:hAnsi="宋体"/>
          <w:snapToGrid w:val="0"/>
          <w:kern w:val="0"/>
          <w:szCs w:val="21"/>
        </w:rPr>
        <w:t xml:space="preserve">A  2年     B  3年     C  5年      D  6年     E  8年 </w:t>
      </w:r>
    </w:p>
    <w:p w14:paraId="2652DAE2">
      <w:pPr>
        <w:rPr>
          <w:rFonts w:ascii="宋体" w:hAnsi="宋体"/>
          <w:snapToGrid w:val="0"/>
          <w:kern w:val="0"/>
          <w:szCs w:val="21"/>
        </w:rPr>
      </w:pPr>
      <w:r>
        <w:rPr>
          <w:rFonts w:ascii="宋体" w:hAnsi="宋体"/>
          <w:snapToGrid w:val="0"/>
          <w:kern w:val="0"/>
          <w:szCs w:val="21"/>
        </w:rPr>
        <w:t xml:space="preserve">（   ）14.下列应采用专用和独立的厂房、生产设施和设备，而生产的药品是    </w:t>
      </w:r>
    </w:p>
    <w:p w14:paraId="604B53BA">
      <w:pPr>
        <w:rPr>
          <w:rFonts w:ascii="宋体" w:hAnsi="宋体"/>
          <w:snapToGrid w:val="0"/>
          <w:kern w:val="0"/>
          <w:szCs w:val="21"/>
        </w:rPr>
      </w:pPr>
      <w:r>
        <w:rPr>
          <w:rFonts w:ascii="宋体" w:hAnsi="宋体"/>
          <w:snapToGrid w:val="0"/>
          <w:kern w:val="0"/>
          <w:szCs w:val="21"/>
        </w:rPr>
        <w:t xml:space="preserve">A  β-内酰胺结构类药品         B 性激素类避孕药品        C 青霉素类    </w:t>
      </w:r>
    </w:p>
    <w:p w14:paraId="051EFF18">
      <w:pPr>
        <w:rPr>
          <w:rFonts w:ascii="宋体" w:hAnsi="宋体"/>
          <w:snapToGrid w:val="0"/>
          <w:kern w:val="0"/>
          <w:szCs w:val="21"/>
        </w:rPr>
      </w:pPr>
      <w:r>
        <w:rPr>
          <w:rFonts w:ascii="宋体" w:hAnsi="宋体"/>
          <w:snapToGrid w:val="0"/>
          <w:kern w:val="0"/>
          <w:szCs w:val="21"/>
        </w:rPr>
        <w:t>D 细胞毒性类                  E 高活性化学药品</w:t>
      </w:r>
    </w:p>
    <w:p w14:paraId="5AD46932">
      <w:pPr>
        <w:rPr>
          <w:rFonts w:ascii="宋体" w:hAnsi="宋体"/>
          <w:snapToGrid w:val="0"/>
          <w:kern w:val="0"/>
          <w:szCs w:val="21"/>
        </w:rPr>
      </w:pPr>
      <w:r>
        <w:rPr>
          <w:rFonts w:ascii="宋体" w:hAnsi="宋体"/>
          <w:snapToGrid w:val="0"/>
          <w:kern w:val="0"/>
          <w:szCs w:val="21"/>
        </w:rPr>
        <w:t xml:space="preserve">（   ）15.《药品经营许可证》发生以下变更，其中不属于许可事项变更的是   </w:t>
      </w:r>
    </w:p>
    <w:p w14:paraId="311C3910">
      <w:pPr>
        <w:rPr>
          <w:rFonts w:ascii="宋体" w:hAnsi="宋体"/>
          <w:snapToGrid w:val="0"/>
          <w:kern w:val="0"/>
          <w:szCs w:val="21"/>
        </w:rPr>
      </w:pPr>
      <w:r>
        <w:rPr>
          <w:rFonts w:ascii="宋体" w:hAnsi="宋体"/>
          <w:snapToGrid w:val="0"/>
          <w:kern w:val="0"/>
          <w:szCs w:val="21"/>
        </w:rPr>
        <w:t>A  经营方式变更              B  扩大经营范围            C  经营地址变更</w:t>
      </w:r>
    </w:p>
    <w:p w14:paraId="2A552091">
      <w:pPr>
        <w:rPr>
          <w:rFonts w:ascii="宋体" w:hAnsi="宋体"/>
          <w:snapToGrid w:val="0"/>
          <w:kern w:val="0"/>
          <w:szCs w:val="21"/>
        </w:rPr>
      </w:pPr>
      <w:r>
        <w:rPr>
          <w:rFonts w:ascii="宋体" w:hAnsi="宋体"/>
          <w:snapToGrid w:val="0"/>
          <w:kern w:val="0"/>
          <w:szCs w:val="21"/>
        </w:rPr>
        <w:t>D  仓库地址变更              E  更换企业法人</w:t>
      </w:r>
    </w:p>
    <w:p w14:paraId="1F6F7606">
      <w:pPr>
        <w:rPr>
          <w:rFonts w:ascii="宋体" w:hAnsi="宋体"/>
          <w:snapToGrid w:val="0"/>
          <w:kern w:val="0"/>
          <w:szCs w:val="21"/>
        </w:rPr>
      </w:pPr>
      <w:r>
        <w:rPr>
          <w:rFonts w:ascii="宋体" w:hAnsi="宋体"/>
          <w:snapToGrid w:val="0"/>
          <w:kern w:val="0"/>
          <w:szCs w:val="21"/>
        </w:rPr>
        <w:t xml:space="preserve">（   ）16.医疗机构药品调剂工作的基本流程是    </w:t>
      </w:r>
    </w:p>
    <w:p w14:paraId="660F819D">
      <w:pPr>
        <w:rPr>
          <w:rFonts w:ascii="宋体" w:hAnsi="宋体"/>
          <w:snapToGrid w:val="0"/>
          <w:kern w:val="0"/>
          <w:szCs w:val="21"/>
        </w:rPr>
      </w:pPr>
      <w:r>
        <w:rPr>
          <w:rFonts w:ascii="宋体" w:hAnsi="宋体"/>
          <w:snapToGrid w:val="0"/>
          <w:kern w:val="0"/>
          <w:szCs w:val="21"/>
        </w:rPr>
        <w:t>A 收方→审方→配方→包装→贴标签→发药</w:t>
      </w:r>
    </w:p>
    <w:p w14:paraId="72FA88A0">
      <w:pPr>
        <w:rPr>
          <w:rFonts w:ascii="宋体" w:hAnsi="宋体"/>
          <w:snapToGrid w:val="0"/>
          <w:kern w:val="0"/>
          <w:szCs w:val="21"/>
        </w:rPr>
      </w:pPr>
      <w:r>
        <w:rPr>
          <w:rFonts w:ascii="宋体" w:hAnsi="宋体"/>
          <w:snapToGrid w:val="0"/>
          <w:kern w:val="0"/>
          <w:szCs w:val="21"/>
        </w:rPr>
        <w:t>B 收方→划价→配方→包装→贴标签→发药</w:t>
      </w:r>
    </w:p>
    <w:p w14:paraId="25CE22B6">
      <w:pPr>
        <w:rPr>
          <w:rFonts w:ascii="宋体" w:hAnsi="宋体"/>
          <w:snapToGrid w:val="0"/>
          <w:kern w:val="0"/>
          <w:szCs w:val="21"/>
        </w:rPr>
      </w:pPr>
      <w:r>
        <w:rPr>
          <w:rFonts w:ascii="宋体" w:hAnsi="宋体"/>
          <w:snapToGrid w:val="0"/>
          <w:kern w:val="0"/>
          <w:szCs w:val="21"/>
        </w:rPr>
        <w:t>C 收方→审方→配方→包装、贴标签→核对→发药</w:t>
      </w:r>
    </w:p>
    <w:p w14:paraId="7F453915">
      <w:pPr>
        <w:rPr>
          <w:rFonts w:ascii="宋体" w:hAnsi="宋体"/>
          <w:snapToGrid w:val="0"/>
          <w:kern w:val="0"/>
          <w:szCs w:val="21"/>
        </w:rPr>
      </w:pPr>
      <w:r>
        <w:rPr>
          <w:rFonts w:ascii="宋体" w:hAnsi="宋体"/>
          <w:snapToGrid w:val="0"/>
          <w:kern w:val="0"/>
          <w:szCs w:val="21"/>
        </w:rPr>
        <w:t>D 收方→审方→配方→包装、贴标签→签名→发药</w:t>
      </w:r>
    </w:p>
    <w:p w14:paraId="00E624AE">
      <w:pPr>
        <w:rPr>
          <w:rFonts w:ascii="宋体" w:hAnsi="宋体"/>
          <w:snapToGrid w:val="0"/>
          <w:kern w:val="0"/>
          <w:szCs w:val="21"/>
        </w:rPr>
      </w:pPr>
      <w:r>
        <w:rPr>
          <w:rFonts w:ascii="宋体" w:hAnsi="宋体"/>
          <w:snapToGrid w:val="0"/>
          <w:kern w:val="0"/>
          <w:szCs w:val="21"/>
        </w:rPr>
        <w:t>E 收方→审方→划价（缴费）→配方→包装、贴标签→核对→发药</w:t>
      </w:r>
    </w:p>
    <w:p w14:paraId="5D8BD9AE">
      <w:pPr>
        <w:rPr>
          <w:rFonts w:ascii="宋体" w:hAnsi="宋体"/>
          <w:snapToGrid w:val="0"/>
          <w:kern w:val="0"/>
          <w:szCs w:val="21"/>
        </w:rPr>
      </w:pPr>
      <w:r>
        <w:rPr>
          <w:rFonts w:ascii="宋体" w:hAnsi="宋体"/>
          <w:snapToGrid w:val="0"/>
          <w:kern w:val="0"/>
          <w:szCs w:val="21"/>
        </w:rPr>
        <w:t xml:space="preserve">（   ）17.根据《处方管理办法》，处方前记应该标明的是    </w:t>
      </w:r>
    </w:p>
    <w:p w14:paraId="2E17B9C2">
      <w:pPr>
        <w:rPr>
          <w:rFonts w:ascii="宋体" w:hAnsi="宋体"/>
          <w:snapToGrid w:val="0"/>
          <w:kern w:val="0"/>
          <w:szCs w:val="21"/>
        </w:rPr>
      </w:pPr>
      <w:r>
        <w:rPr>
          <w:rFonts w:ascii="宋体" w:hAnsi="宋体"/>
          <w:snapToGrid w:val="0"/>
          <w:kern w:val="0"/>
          <w:szCs w:val="21"/>
        </w:rPr>
        <w:t>A 药品金额   B 临床诊断   C 药品名称    D 药品性状    E 药品用法用量</w:t>
      </w:r>
    </w:p>
    <w:p w14:paraId="448AB96F">
      <w:pPr>
        <w:rPr>
          <w:rFonts w:ascii="宋体" w:hAnsi="宋体"/>
          <w:snapToGrid w:val="0"/>
          <w:kern w:val="0"/>
          <w:szCs w:val="21"/>
        </w:rPr>
      </w:pPr>
      <w:r>
        <w:rPr>
          <w:rFonts w:ascii="宋体" w:hAnsi="宋体"/>
          <w:snapToGrid w:val="0"/>
          <w:kern w:val="0"/>
          <w:szCs w:val="21"/>
        </w:rPr>
        <w:t xml:space="preserve">（   ）18.根据《药品不良反应报告和监测管理办法》，药品不良反应是指     </w:t>
      </w:r>
    </w:p>
    <w:p w14:paraId="306E5D66">
      <w:pPr>
        <w:rPr>
          <w:rFonts w:ascii="宋体" w:hAnsi="宋体"/>
          <w:snapToGrid w:val="0"/>
          <w:kern w:val="0"/>
          <w:szCs w:val="21"/>
        </w:rPr>
      </w:pPr>
      <w:r>
        <w:rPr>
          <w:rFonts w:ascii="宋体" w:hAnsi="宋体"/>
          <w:snapToGrid w:val="0"/>
          <w:kern w:val="0"/>
          <w:szCs w:val="21"/>
        </w:rPr>
        <w:t>A 合格药品在正常用法下导致的致畸反应</w:t>
      </w:r>
    </w:p>
    <w:p w14:paraId="3BB2C19D">
      <w:pPr>
        <w:rPr>
          <w:rFonts w:ascii="宋体" w:hAnsi="宋体"/>
          <w:snapToGrid w:val="0"/>
          <w:kern w:val="0"/>
          <w:szCs w:val="21"/>
        </w:rPr>
      </w:pPr>
      <w:r>
        <w:rPr>
          <w:rFonts w:ascii="宋体" w:hAnsi="宋体"/>
          <w:snapToGrid w:val="0"/>
          <w:kern w:val="0"/>
          <w:szCs w:val="21"/>
        </w:rPr>
        <w:t>B 合格药品在正常用法用量下出现的与用药目的无关的有害反应</w:t>
      </w:r>
    </w:p>
    <w:p w14:paraId="48657DCB">
      <w:pPr>
        <w:rPr>
          <w:rFonts w:ascii="宋体" w:hAnsi="宋体"/>
          <w:snapToGrid w:val="0"/>
          <w:kern w:val="0"/>
          <w:szCs w:val="21"/>
        </w:rPr>
      </w:pPr>
      <w:r>
        <w:rPr>
          <w:rFonts w:ascii="宋体" w:hAnsi="宋体"/>
          <w:snapToGrid w:val="0"/>
          <w:kern w:val="0"/>
          <w:szCs w:val="21"/>
        </w:rPr>
        <w:t>C 不合理用药可能造成的有害反应</w:t>
      </w:r>
    </w:p>
    <w:p w14:paraId="66A98F91">
      <w:pPr>
        <w:rPr>
          <w:rFonts w:ascii="宋体" w:hAnsi="宋体"/>
          <w:snapToGrid w:val="0"/>
          <w:kern w:val="0"/>
          <w:szCs w:val="21"/>
        </w:rPr>
      </w:pPr>
      <w:r>
        <w:rPr>
          <w:rFonts w:ascii="宋体" w:hAnsi="宋体"/>
          <w:snapToGrid w:val="0"/>
          <w:kern w:val="0"/>
          <w:szCs w:val="21"/>
        </w:rPr>
        <w:t>D 正常用法用量下出现的能预测的有害反应</w:t>
      </w:r>
    </w:p>
    <w:p w14:paraId="0EF76923">
      <w:pPr>
        <w:rPr>
          <w:rFonts w:ascii="宋体" w:hAnsi="宋体"/>
          <w:snapToGrid w:val="0"/>
          <w:kern w:val="0"/>
          <w:szCs w:val="21"/>
        </w:rPr>
      </w:pPr>
      <w:r>
        <w:rPr>
          <w:rFonts w:ascii="宋体" w:hAnsi="宋体"/>
          <w:snapToGrid w:val="0"/>
          <w:kern w:val="0"/>
          <w:szCs w:val="21"/>
        </w:rPr>
        <w:t>E 不合理用药造成的致死现象</w:t>
      </w:r>
    </w:p>
    <w:p w14:paraId="701BEF77">
      <w:pPr>
        <w:rPr>
          <w:rFonts w:ascii="宋体" w:hAnsi="宋体"/>
          <w:snapToGrid w:val="0"/>
          <w:kern w:val="0"/>
          <w:szCs w:val="21"/>
        </w:rPr>
      </w:pPr>
      <w:r>
        <w:rPr>
          <w:rFonts w:ascii="宋体" w:hAnsi="宋体"/>
          <w:snapToGrid w:val="0"/>
          <w:kern w:val="0"/>
          <w:szCs w:val="21"/>
        </w:rPr>
        <w:t xml:space="preserve">（   ）19.下列机构中应设立专门机构并有专职人员（不得兼职）负责本单位不良反应报告和监测管理工作的是  </w:t>
      </w:r>
    </w:p>
    <w:p w14:paraId="12A8800F">
      <w:pPr>
        <w:rPr>
          <w:rFonts w:ascii="宋体" w:hAnsi="宋体"/>
          <w:snapToGrid w:val="0"/>
          <w:kern w:val="0"/>
          <w:szCs w:val="21"/>
        </w:rPr>
      </w:pPr>
      <w:r>
        <w:rPr>
          <w:rFonts w:ascii="宋体" w:hAnsi="宋体"/>
          <w:snapToGrid w:val="0"/>
          <w:kern w:val="0"/>
          <w:szCs w:val="21"/>
        </w:rPr>
        <w:t xml:space="preserve">A 药品批发企业        B 药品零售企业                 C 药品生产企业    </w:t>
      </w:r>
    </w:p>
    <w:p w14:paraId="212986EC">
      <w:pPr>
        <w:rPr>
          <w:rFonts w:ascii="宋体" w:hAnsi="宋体"/>
          <w:snapToGrid w:val="0"/>
          <w:kern w:val="0"/>
          <w:szCs w:val="21"/>
        </w:rPr>
      </w:pPr>
      <w:r>
        <w:rPr>
          <w:rFonts w:ascii="宋体" w:hAnsi="宋体"/>
          <w:snapToGrid w:val="0"/>
          <w:kern w:val="0"/>
          <w:szCs w:val="21"/>
        </w:rPr>
        <w:t>D 医疗机构            E 药品检验机构</w:t>
      </w:r>
    </w:p>
    <w:p w14:paraId="1F4C0F35">
      <w:pPr>
        <w:rPr>
          <w:rFonts w:ascii="宋体" w:hAnsi="宋体"/>
          <w:snapToGrid w:val="0"/>
          <w:kern w:val="0"/>
          <w:szCs w:val="21"/>
        </w:rPr>
      </w:pPr>
      <w:r>
        <w:rPr>
          <w:rFonts w:ascii="宋体" w:hAnsi="宋体"/>
          <w:snapToGrid w:val="0"/>
          <w:kern w:val="0"/>
          <w:szCs w:val="21"/>
        </w:rPr>
        <w:t xml:space="preserve">（   ）20.使用后可能引起暂时的或者可逆的健康危害的药品，应进行  </w:t>
      </w:r>
    </w:p>
    <w:p w14:paraId="33037F0E">
      <w:pPr>
        <w:rPr>
          <w:rFonts w:ascii="宋体" w:hAnsi="宋体"/>
          <w:snapToGrid w:val="0"/>
          <w:kern w:val="0"/>
          <w:szCs w:val="21"/>
        </w:rPr>
      </w:pPr>
      <w:r>
        <w:rPr>
          <w:rFonts w:ascii="宋体" w:hAnsi="宋体"/>
          <w:snapToGrid w:val="0"/>
          <w:kern w:val="0"/>
          <w:szCs w:val="21"/>
        </w:rPr>
        <w:t xml:space="preserve">A 立即召回                B 暂缓召回               C 三级召回    </w:t>
      </w:r>
    </w:p>
    <w:p w14:paraId="75B707CC">
      <w:pPr>
        <w:rPr>
          <w:rFonts w:ascii="宋体" w:hAnsi="宋体"/>
          <w:snapToGrid w:val="0"/>
          <w:kern w:val="0"/>
          <w:szCs w:val="21"/>
        </w:rPr>
      </w:pPr>
      <w:r>
        <w:rPr>
          <w:rFonts w:ascii="宋体" w:hAnsi="宋体"/>
          <w:snapToGrid w:val="0"/>
          <w:kern w:val="0"/>
          <w:szCs w:val="21"/>
        </w:rPr>
        <w:t xml:space="preserve">D 二级召回                E 一级召回 </w:t>
      </w:r>
    </w:p>
    <w:p w14:paraId="68AB4AED">
      <w:pPr>
        <w:rPr>
          <w:rFonts w:ascii="宋体" w:hAnsi="宋体"/>
          <w:snapToGrid w:val="0"/>
          <w:kern w:val="0"/>
          <w:szCs w:val="21"/>
        </w:rPr>
      </w:pPr>
      <w:r>
        <w:rPr>
          <w:rFonts w:ascii="宋体" w:hAnsi="宋体"/>
          <w:snapToGrid w:val="0"/>
          <w:kern w:val="0"/>
          <w:szCs w:val="21"/>
        </w:rPr>
        <w:t xml:space="preserve">（   ）21.下列不属于麻醉药品的是    </w:t>
      </w:r>
    </w:p>
    <w:p w14:paraId="5A3B662B">
      <w:pPr>
        <w:rPr>
          <w:rFonts w:ascii="宋体" w:hAnsi="宋体"/>
          <w:snapToGrid w:val="0"/>
          <w:kern w:val="0"/>
          <w:szCs w:val="21"/>
        </w:rPr>
      </w:pPr>
      <w:r>
        <w:rPr>
          <w:rFonts w:ascii="宋体" w:hAnsi="宋体"/>
          <w:snapToGrid w:val="0"/>
          <w:kern w:val="0"/>
          <w:szCs w:val="21"/>
        </w:rPr>
        <w:t xml:space="preserve">A 氢吗啡酮        </w:t>
      </w:r>
      <w:r>
        <w:rPr>
          <w:rFonts w:hint="eastAsia" w:ascii="宋体" w:hAnsi="宋体"/>
          <w:snapToGrid w:val="0"/>
          <w:kern w:val="0"/>
          <w:szCs w:val="21"/>
        </w:rPr>
        <w:t>B</w:t>
      </w:r>
      <w:r>
        <w:rPr>
          <w:rFonts w:ascii="宋体" w:hAnsi="宋体"/>
          <w:snapToGrid w:val="0"/>
          <w:kern w:val="0"/>
          <w:szCs w:val="21"/>
        </w:rPr>
        <w:t xml:space="preserve"> 美沙酮       </w:t>
      </w:r>
      <w:r>
        <w:rPr>
          <w:rFonts w:hint="eastAsia" w:ascii="宋体" w:hAnsi="宋体"/>
          <w:snapToGrid w:val="0"/>
          <w:kern w:val="0"/>
          <w:szCs w:val="21"/>
        </w:rPr>
        <w:t>C</w:t>
      </w:r>
      <w:r>
        <w:rPr>
          <w:rFonts w:ascii="宋体" w:hAnsi="宋体"/>
          <w:snapToGrid w:val="0"/>
          <w:kern w:val="0"/>
          <w:szCs w:val="21"/>
        </w:rPr>
        <w:t xml:space="preserve"> 羟考酮     </w:t>
      </w:r>
      <w:r>
        <w:rPr>
          <w:rFonts w:hint="eastAsia" w:ascii="宋体" w:hAnsi="宋体"/>
          <w:snapToGrid w:val="0"/>
          <w:kern w:val="0"/>
          <w:szCs w:val="21"/>
        </w:rPr>
        <w:t>D</w:t>
      </w:r>
      <w:r>
        <w:rPr>
          <w:rFonts w:ascii="宋体" w:hAnsi="宋体"/>
          <w:snapToGrid w:val="0"/>
          <w:kern w:val="0"/>
          <w:szCs w:val="21"/>
        </w:rPr>
        <w:t xml:space="preserve"> 氯胺酮     E 氢可酮 </w:t>
      </w:r>
    </w:p>
    <w:p w14:paraId="619D4FD4">
      <w:pPr>
        <w:rPr>
          <w:rFonts w:ascii="宋体" w:hAnsi="宋体"/>
          <w:snapToGrid w:val="0"/>
          <w:kern w:val="0"/>
          <w:szCs w:val="21"/>
        </w:rPr>
      </w:pPr>
      <w:r>
        <w:rPr>
          <w:rFonts w:ascii="宋体" w:hAnsi="宋体"/>
          <w:snapToGrid w:val="0"/>
          <w:kern w:val="0"/>
          <w:szCs w:val="21"/>
        </w:rPr>
        <w:t xml:space="preserve">（   ）22. 符合麻醉药品和精神药品管理规定的是   </w:t>
      </w:r>
    </w:p>
    <w:p w14:paraId="7FD451AF">
      <w:pPr>
        <w:rPr>
          <w:rFonts w:ascii="宋体" w:hAnsi="宋体"/>
          <w:snapToGrid w:val="0"/>
          <w:kern w:val="0"/>
          <w:szCs w:val="21"/>
        </w:rPr>
      </w:pPr>
      <w:r>
        <w:rPr>
          <w:rFonts w:ascii="宋体" w:hAnsi="宋体"/>
          <w:snapToGrid w:val="0"/>
          <w:kern w:val="0"/>
          <w:szCs w:val="21"/>
        </w:rPr>
        <w:t>A 区域性定点批发企业跨省配送需经国家药监局批准</w:t>
      </w:r>
    </w:p>
    <w:p w14:paraId="4DD5CC60">
      <w:pPr>
        <w:rPr>
          <w:rFonts w:ascii="宋体" w:hAnsi="宋体"/>
          <w:snapToGrid w:val="0"/>
          <w:kern w:val="0"/>
          <w:szCs w:val="21"/>
        </w:rPr>
      </w:pPr>
      <w:r>
        <w:rPr>
          <w:rFonts w:ascii="宋体" w:hAnsi="宋体"/>
          <w:snapToGrid w:val="0"/>
          <w:kern w:val="0"/>
          <w:szCs w:val="21"/>
        </w:rPr>
        <w:t>B 第一类精神药品可以在各类药店零售，但不得向未成年人销售</w:t>
      </w:r>
    </w:p>
    <w:p w14:paraId="2386B42D">
      <w:pPr>
        <w:rPr>
          <w:rFonts w:ascii="宋体" w:hAnsi="宋体"/>
          <w:snapToGrid w:val="0"/>
          <w:kern w:val="0"/>
          <w:szCs w:val="21"/>
        </w:rPr>
      </w:pPr>
      <w:r>
        <w:rPr>
          <w:rFonts w:ascii="宋体" w:hAnsi="宋体"/>
          <w:snapToGrid w:val="0"/>
          <w:kern w:val="0"/>
          <w:szCs w:val="21"/>
        </w:rPr>
        <w:t>C 邮寄麻醉药品和精神药品需经设区的市级药品监管部门批准，出具邮寄证明</w:t>
      </w:r>
    </w:p>
    <w:p w14:paraId="6CC22B43">
      <w:pPr>
        <w:rPr>
          <w:rFonts w:ascii="宋体" w:hAnsi="宋体"/>
          <w:snapToGrid w:val="0"/>
          <w:kern w:val="0"/>
          <w:szCs w:val="21"/>
        </w:rPr>
      </w:pPr>
      <w:r>
        <w:rPr>
          <w:rFonts w:ascii="宋体" w:hAnsi="宋体"/>
          <w:snapToGrid w:val="0"/>
          <w:kern w:val="0"/>
          <w:szCs w:val="21"/>
        </w:rPr>
        <w:t>D 医疗机构内麻醉药品和精神药品处方至少保存3年</w:t>
      </w:r>
    </w:p>
    <w:p w14:paraId="5875AF07">
      <w:pPr>
        <w:rPr>
          <w:rFonts w:ascii="宋体" w:hAnsi="宋体"/>
          <w:snapToGrid w:val="0"/>
          <w:kern w:val="0"/>
          <w:szCs w:val="21"/>
        </w:rPr>
      </w:pPr>
      <w:r>
        <w:rPr>
          <w:rFonts w:ascii="宋体" w:hAnsi="宋体"/>
          <w:snapToGrid w:val="0"/>
          <w:kern w:val="0"/>
          <w:szCs w:val="21"/>
        </w:rPr>
        <w:t>E 持执业医师处方可在药品零售企业购买麻醉药品和第一类精神药品</w:t>
      </w:r>
    </w:p>
    <w:p w14:paraId="02539D50">
      <w:pPr>
        <w:rPr>
          <w:rFonts w:ascii="宋体" w:hAnsi="宋体"/>
          <w:snapToGrid w:val="0"/>
          <w:kern w:val="0"/>
          <w:szCs w:val="21"/>
        </w:rPr>
      </w:pPr>
      <w:r>
        <w:rPr>
          <w:rFonts w:ascii="宋体" w:hAnsi="宋体"/>
          <w:snapToGrid w:val="0"/>
          <w:kern w:val="0"/>
          <w:szCs w:val="21"/>
        </w:rPr>
        <w:t xml:space="preserve">（   ）23.毒性药品处方保存时间  </w:t>
      </w:r>
    </w:p>
    <w:p w14:paraId="7D170266">
      <w:pPr>
        <w:rPr>
          <w:rFonts w:ascii="宋体" w:hAnsi="宋体"/>
          <w:snapToGrid w:val="0"/>
          <w:kern w:val="0"/>
          <w:szCs w:val="21"/>
        </w:rPr>
      </w:pPr>
      <w:r>
        <w:rPr>
          <w:rFonts w:ascii="宋体" w:hAnsi="宋体"/>
          <w:snapToGrid w:val="0"/>
          <w:kern w:val="0"/>
          <w:szCs w:val="21"/>
        </w:rPr>
        <w:t>A  1年      B  2年     C  3年    D  4年     E  5年</w:t>
      </w:r>
    </w:p>
    <w:p w14:paraId="0E5A00BC">
      <w:pPr>
        <w:rPr>
          <w:rFonts w:ascii="宋体" w:hAnsi="宋体"/>
          <w:snapToGrid w:val="0"/>
          <w:kern w:val="0"/>
          <w:szCs w:val="21"/>
        </w:rPr>
      </w:pPr>
      <w:r>
        <w:rPr>
          <w:rFonts w:ascii="宋体" w:hAnsi="宋体"/>
          <w:b/>
          <w:snapToGrid w:val="0"/>
          <w:kern w:val="0"/>
          <w:szCs w:val="21"/>
        </w:rPr>
        <w:t>二、多项选择题</w:t>
      </w:r>
      <w:r>
        <w:rPr>
          <w:rFonts w:ascii="宋体" w:hAnsi="宋体"/>
          <w:snapToGrid w:val="0"/>
          <w:kern w:val="0"/>
          <w:szCs w:val="21"/>
        </w:rPr>
        <w:t>（    ）1. “药事”是泛指一切与药有关的事项，其活动主要围绕药品的____环节展开。</w:t>
      </w:r>
    </w:p>
    <w:p w14:paraId="38E6DA37">
      <w:pPr>
        <w:rPr>
          <w:rFonts w:ascii="宋体" w:hAnsi="宋体"/>
          <w:snapToGrid w:val="0"/>
          <w:kern w:val="0"/>
          <w:szCs w:val="21"/>
        </w:rPr>
      </w:pPr>
      <w:r>
        <w:rPr>
          <w:rFonts w:ascii="宋体" w:hAnsi="宋体"/>
          <w:snapToGrid w:val="0"/>
          <w:kern w:val="0"/>
          <w:szCs w:val="21"/>
        </w:rPr>
        <w:t>A 研发   B 生产  C 流通   D 使用  E 药效</w:t>
      </w:r>
    </w:p>
    <w:p w14:paraId="6C413FA4">
      <w:pPr>
        <w:rPr>
          <w:rFonts w:ascii="宋体" w:hAnsi="宋体"/>
          <w:snapToGrid w:val="0"/>
          <w:kern w:val="0"/>
          <w:szCs w:val="21"/>
        </w:rPr>
      </w:pPr>
      <w:r>
        <w:rPr>
          <w:rFonts w:ascii="宋体" w:hAnsi="宋体"/>
          <w:snapToGrid w:val="0"/>
          <w:kern w:val="0"/>
          <w:szCs w:val="21"/>
        </w:rPr>
        <w:t xml:space="preserve">（   ）2. 下列属于药品的是  </w:t>
      </w:r>
    </w:p>
    <w:p w14:paraId="29B3B8AA">
      <w:pPr>
        <w:rPr>
          <w:rFonts w:ascii="宋体" w:hAnsi="宋体"/>
          <w:snapToGrid w:val="0"/>
          <w:kern w:val="0"/>
          <w:szCs w:val="21"/>
        </w:rPr>
      </w:pPr>
      <w:r>
        <w:rPr>
          <w:rFonts w:ascii="宋体" w:hAnsi="宋体"/>
          <w:snapToGrid w:val="0"/>
          <w:kern w:val="0"/>
          <w:szCs w:val="21"/>
        </w:rPr>
        <w:t>A 中药饮片   B 含植物活性成分的化妆品    C 血液制品    D 血浆    E 疫苗</w:t>
      </w:r>
    </w:p>
    <w:p w14:paraId="4EFBF480">
      <w:pPr>
        <w:rPr>
          <w:rFonts w:ascii="宋体" w:hAnsi="宋体"/>
          <w:snapToGrid w:val="0"/>
          <w:kern w:val="0"/>
          <w:szCs w:val="21"/>
        </w:rPr>
      </w:pPr>
      <w:r>
        <w:rPr>
          <w:rFonts w:ascii="宋体" w:hAnsi="宋体"/>
          <w:snapToGrid w:val="0"/>
          <w:kern w:val="0"/>
          <w:szCs w:val="21"/>
        </w:rPr>
        <w:t xml:space="preserve">（   ）3. 药品监督管理的性质，包括  </w:t>
      </w:r>
    </w:p>
    <w:p w14:paraId="09546DD1">
      <w:pPr>
        <w:rPr>
          <w:rFonts w:ascii="宋体" w:hAnsi="宋体"/>
          <w:snapToGrid w:val="0"/>
          <w:kern w:val="0"/>
          <w:szCs w:val="21"/>
        </w:rPr>
      </w:pPr>
      <w:r>
        <w:rPr>
          <w:rFonts w:ascii="宋体" w:hAnsi="宋体"/>
          <w:snapToGrid w:val="0"/>
          <w:kern w:val="0"/>
          <w:szCs w:val="21"/>
        </w:rPr>
        <w:t>A 属于国家行政</w:t>
      </w:r>
    </w:p>
    <w:p w14:paraId="006DDA81">
      <w:pPr>
        <w:rPr>
          <w:rFonts w:ascii="宋体" w:hAnsi="宋体"/>
          <w:snapToGrid w:val="0"/>
          <w:kern w:val="0"/>
          <w:szCs w:val="21"/>
        </w:rPr>
      </w:pPr>
      <w:r>
        <w:rPr>
          <w:rFonts w:ascii="宋体" w:hAnsi="宋体"/>
          <w:snapToGrid w:val="0"/>
          <w:kern w:val="0"/>
          <w:szCs w:val="21"/>
        </w:rPr>
        <w:t>B 仅指国家授权的行政机关对药品、药事组织、药事活动等进行的监督管理</w:t>
      </w:r>
    </w:p>
    <w:p w14:paraId="529BF731">
      <w:pPr>
        <w:rPr>
          <w:rFonts w:ascii="宋体" w:hAnsi="宋体"/>
          <w:snapToGrid w:val="0"/>
          <w:kern w:val="0"/>
          <w:szCs w:val="21"/>
        </w:rPr>
      </w:pPr>
      <w:r>
        <w:rPr>
          <w:rFonts w:ascii="宋体" w:hAnsi="宋体"/>
          <w:snapToGrid w:val="0"/>
          <w:kern w:val="0"/>
          <w:szCs w:val="21"/>
        </w:rPr>
        <w:t>C 具有双重性</w:t>
      </w:r>
    </w:p>
    <w:p w14:paraId="42D54367">
      <w:pPr>
        <w:rPr>
          <w:rFonts w:ascii="宋体" w:hAnsi="宋体"/>
          <w:snapToGrid w:val="0"/>
          <w:kern w:val="0"/>
          <w:szCs w:val="21"/>
        </w:rPr>
      </w:pPr>
      <w:r>
        <w:rPr>
          <w:rFonts w:ascii="宋体" w:hAnsi="宋体"/>
          <w:snapToGrid w:val="0"/>
          <w:kern w:val="0"/>
          <w:szCs w:val="21"/>
        </w:rPr>
        <w:t>D 具有灵活性，根据药品市场供求关系进行协调</w:t>
      </w:r>
    </w:p>
    <w:p w14:paraId="330711D1">
      <w:pPr>
        <w:rPr>
          <w:rFonts w:ascii="宋体" w:hAnsi="宋体"/>
          <w:snapToGrid w:val="0"/>
          <w:kern w:val="0"/>
          <w:szCs w:val="21"/>
        </w:rPr>
      </w:pPr>
      <w:r>
        <w:rPr>
          <w:rFonts w:ascii="宋体" w:hAnsi="宋体"/>
          <w:snapToGrid w:val="0"/>
          <w:kern w:val="0"/>
          <w:szCs w:val="21"/>
        </w:rPr>
        <w:t>E 具有法律性，是依法进行的监管活动，由国家强制力作保障</w:t>
      </w:r>
    </w:p>
    <w:p w14:paraId="70D16DFD">
      <w:pPr>
        <w:rPr>
          <w:rFonts w:ascii="宋体" w:hAnsi="宋体"/>
          <w:snapToGrid w:val="0"/>
          <w:kern w:val="0"/>
          <w:szCs w:val="21"/>
        </w:rPr>
      </w:pPr>
      <w:r>
        <w:rPr>
          <w:rFonts w:ascii="宋体" w:hAnsi="宋体"/>
          <w:snapToGrid w:val="0"/>
          <w:kern w:val="0"/>
          <w:szCs w:val="21"/>
        </w:rPr>
        <w:t xml:space="preserve">（   ）4. 零售药店不得销售的药品有    </w:t>
      </w:r>
    </w:p>
    <w:p w14:paraId="63BD57E7">
      <w:pPr>
        <w:rPr>
          <w:rFonts w:ascii="宋体" w:hAnsi="宋体"/>
          <w:snapToGrid w:val="0"/>
          <w:kern w:val="0"/>
          <w:szCs w:val="21"/>
        </w:rPr>
      </w:pPr>
      <w:r>
        <w:rPr>
          <w:rFonts w:ascii="宋体" w:hAnsi="宋体"/>
          <w:snapToGrid w:val="0"/>
          <w:kern w:val="0"/>
          <w:szCs w:val="21"/>
        </w:rPr>
        <w:t xml:space="preserve">A 蛋白同化制剂        B 疫苗          C 药品类易制毒化学品    </w:t>
      </w:r>
    </w:p>
    <w:p w14:paraId="6112B82B">
      <w:pPr>
        <w:rPr>
          <w:rFonts w:ascii="宋体" w:hAnsi="宋体"/>
          <w:snapToGrid w:val="0"/>
          <w:kern w:val="0"/>
          <w:szCs w:val="21"/>
        </w:rPr>
      </w:pPr>
      <w:r>
        <w:rPr>
          <w:rFonts w:ascii="宋体" w:hAnsi="宋体"/>
          <w:snapToGrid w:val="0"/>
          <w:kern w:val="0"/>
          <w:szCs w:val="21"/>
        </w:rPr>
        <w:t>D 第二类精神药品      E 注射剂</w:t>
      </w:r>
    </w:p>
    <w:p w14:paraId="6CDD39E4">
      <w:pPr>
        <w:rPr>
          <w:rFonts w:ascii="宋体" w:hAnsi="宋体"/>
          <w:snapToGrid w:val="0"/>
          <w:kern w:val="0"/>
          <w:szCs w:val="21"/>
        </w:rPr>
      </w:pPr>
      <w:r>
        <w:rPr>
          <w:rFonts w:ascii="宋体" w:hAnsi="宋体"/>
          <w:snapToGrid w:val="0"/>
          <w:kern w:val="0"/>
          <w:szCs w:val="21"/>
        </w:rPr>
        <w:t xml:space="preserve">（    ）5 国家药品监督管理局的主要职责包括     </w:t>
      </w:r>
    </w:p>
    <w:p w14:paraId="40F65953">
      <w:pPr>
        <w:rPr>
          <w:rFonts w:ascii="宋体" w:hAnsi="宋体"/>
          <w:snapToGrid w:val="0"/>
          <w:kern w:val="0"/>
          <w:szCs w:val="21"/>
        </w:rPr>
      </w:pPr>
      <w:r>
        <w:rPr>
          <w:rFonts w:ascii="宋体" w:hAnsi="宋体"/>
          <w:snapToGrid w:val="0"/>
          <w:kern w:val="0"/>
          <w:szCs w:val="21"/>
        </w:rPr>
        <w:t>A 拟定、修订药品管理法律法规</w:t>
      </w:r>
    </w:p>
    <w:p w14:paraId="7238D157">
      <w:pPr>
        <w:rPr>
          <w:rFonts w:ascii="宋体" w:hAnsi="宋体"/>
          <w:snapToGrid w:val="0"/>
          <w:kern w:val="0"/>
          <w:szCs w:val="21"/>
        </w:rPr>
      </w:pPr>
      <w:r>
        <w:rPr>
          <w:rFonts w:ascii="宋体" w:hAnsi="宋体"/>
          <w:snapToGrid w:val="0"/>
          <w:kern w:val="0"/>
          <w:szCs w:val="21"/>
        </w:rPr>
        <w:t>B 负责医药品的战略储备</w:t>
      </w:r>
    </w:p>
    <w:p w14:paraId="767665CF">
      <w:pPr>
        <w:rPr>
          <w:rFonts w:ascii="宋体" w:hAnsi="宋体"/>
          <w:snapToGrid w:val="0"/>
          <w:kern w:val="0"/>
          <w:szCs w:val="21"/>
        </w:rPr>
      </w:pPr>
      <w:r>
        <w:rPr>
          <w:rFonts w:ascii="宋体" w:hAnsi="宋体"/>
          <w:snapToGrid w:val="0"/>
          <w:kern w:val="0"/>
          <w:szCs w:val="21"/>
        </w:rPr>
        <w:t>C 拟定、修订药品法定标准</w:t>
      </w:r>
    </w:p>
    <w:p w14:paraId="79C5E19A">
      <w:pPr>
        <w:rPr>
          <w:rFonts w:ascii="宋体" w:hAnsi="宋体"/>
          <w:snapToGrid w:val="0"/>
          <w:kern w:val="0"/>
          <w:szCs w:val="21"/>
        </w:rPr>
      </w:pPr>
      <w:r>
        <w:rPr>
          <w:rFonts w:ascii="宋体" w:hAnsi="宋体"/>
          <w:snapToGrid w:val="0"/>
          <w:kern w:val="0"/>
          <w:szCs w:val="21"/>
        </w:rPr>
        <w:t>D 指导执业药师资格考试和注册工作</w:t>
      </w:r>
    </w:p>
    <w:p w14:paraId="4986AE28">
      <w:pPr>
        <w:rPr>
          <w:rFonts w:ascii="宋体" w:hAnsi="宋体"/>
          <w:snapToGrid w:val="0"/>
          <w:kern w:val="0"/>
          <w:szCs w:val="21"/>
        </w:rPr>
      </w:pPr>
      <w:r>
        <w:rPr>
          <w:rFonts w:ascii="宋体" w:hAnsi="宋体"/>
          <w:snapToGrid w:val="0"/>
          <w:kern w:val="0"/>
          <w:szCs w:val="21"/>
        </w:rPr>
        <w:t>E 制定医药行业的发展规划</w:t>
      </w:r>
    </w:p>
    <w:p w14:paraId="370D7C8C">
      <w:pPr>
        <w:rPr>
          <w:rFonts w:ascii="宋体" w:hAnsi="宋体"/>
          <w:snapToGrid w:val="0"/>
          <w:kern w:val="0"/>
          <w:szCs w:val="21"/>
        </w:rPr>
      </w:pPr>
      <w:r>
        <w:rPr>
          <w:rFonts w:ascii="宋体" w:hAnsi="宋体"/>
          <w:snapToGrid w:val="0"/>
          <w:kern w:val="0"/>
          <w:szCs w:val="21"/>
        </w:rPr>
        <w:t xml:space="preserve">（    ）6. 《医药机构药事管理规定》对药学专业技术人员的规定，叙述正确的是 </w:t>
      </w:r>
    </w:p>
    <w:p w14:paraId="3813EE56">
      <w:pPr>
        <w:rPr>
          <w:rFonts w:ascii="宋体" w:hAnsi="宋体"/>
          <w:snapToGrid w:val="0"/>
          <w:kern w:val="0"/>
          <w:szCs w:val="21"/>
        </w:rPr>
      </w:pPr>
      <w:r>
        <w:rPr>
          <w:rFonts w:ascii="宋体" w:hAnsi="宋体"/>
          <w:snapToGrid w:val="0"/>
          <w:kern w:val="0"/>
          <w:szCs w:val="21"/>
        </w:rPr>
        <w:t>A 医疗机构药学专业技术人员不得少于本机构卫生专业技术人员的5%。</w:t>
      </w:r>
    </w:p>
    <w:p w14:paraId="309CB145">
      <w:pPr>
        <w:rPr>
          <w:rFonts w:ascii="宋体" w:hAnsi="宋体"/>
          <w:snapToGrid w:val="0"/>
          <w:kern w:val="0"/>
          <w:szCs w:val="21"/>
        </w:rPr>
      </w:pPr>
      <w:r>
        <w:rPr>
          <w:rFonts w:ascii="宋体" w:hAnsi="宋体"/>
          <w:snapToGrid w:val="0"/>
          <w:kern w:val="0"/>
          <w:szCs w:val="21"/>
        </w:rPr>
        <w:t>B 建立静脉用药调配中心的，医疗机构应根据实际情况另行增加药学专业技术人员的数量。</w:t>
      </w:r>
    </w:p>
    <w:p w14:paraId="69F6C547">
      <w:pPr>
        <w:rPr>
          <w:rFonts w:ascii="宋体" w:hAnsi="宋体"/>
          <w:snapToGrid w:val="0"/>
          <w:kern w:val="0"/>
          <w:szCs w:val="21"/>
        </w:rPr>
      </w:pPr>
      <w:r>
        <w:rPr>
          <w:rFonts w:ascii="宋体" w:hAnsi="宋体"/>
          <w:snapToGrid w:val="0"/>
          <w:kern w:val="0"/>
          <w:szCs w:val="21"/>
        </w:rPr>
        <w:t>C 二级以上医院药剂科负责人应具有药学专业或临床药学专业本科以上学历及本专业高级技术职称。</w:t>
      </w:r>
    </w:p>
    <w:p w14:paraId="1647DC2B">
      <w:pPr>
        <w:rPr>
          <w:rFonts w:ascii="宋体" w:hAnsi="宋体"/>
          <w:snapToGrid w:val="0"/>
          <w:kern w:val="0"/>
          <w:szCs w:val="21"/>
        </w:rPr>
      </w:pPr>
      <w:r>
        <w:rPr>
          <w:rFonts w:ascii="宋体" w:hAnsi="宋体"/>
          <w:snapToGrid w:val="0"/>
          <w:kern w:val="0"/>
          <w:szCs w:val="21"/>
        </w:rPr>
        <w:t>D 三级医院临床药师不少于5名。</w:t>
      </w:r>
    </w:p>
    <w:p w14:paraId="769086E5">
      <w:pPr>
        <w:rPr>
          <w:rFonts w:ascii="宋体" w:hAnsi="宋体"/>
          <w:snapToGrid w:val="0"/>
          <w:kern w:val="0"/>
          <w:szCs w:val="21"/>
        </w:rPr>
      </w:pPr>
      <w:r>
        <w:rPr>
          <w:rFonts w:ascii="宋体" w:hAnsi="宋体"/>
          <w:snapToGrid w:val="0"/>
          <w:kern w:val="0"/>
          <w:szCs w:val="21"/>
        </w:rPr>
        <w:t>E二级医院临床药师不少于3名。</w:t>
      </w:r>
    </w:p>
    <w:p w14:paraId="11103C89">
      <w:pPr>
        <w:rPr>
          <w:rFonts w:ascii="宋体" w:hAnsi="宋体"/>
          <w:snapToGrid w:val="0"/>
          <w:kern w:val="0"/>
          <w:szCs w:val="21"/>
          <w:u w:val="single"/>
        </w:rPr>
      </w:pPr>
      <w:r>
        <w:rPr>
          <w:rFonts w:ascii="宋体" w:hAnsi="宋体"/>
          <w:snapToGrid w:val="0"/>
          <w:kern w:val="0"/>
          <w:szCs w:val="21"/>
        </w:rPr>
        <w:t>（    ）7. 《药品管理法》2019版规定，对短缺药品，国务院可以</w:t>
      </w:r>
      <w:r>
        <w:rPr>
          <w:rFonts w:ascii="宋体" w:hAnsi="宋体"/>
          <w:snapToGrid w:val="0"/>
          <w:kern w:val="0"/>
          <w:szCs w:val="21"/>
          <w:u w:val="single"/>
        </w:rPr>
        <w:t>_</w:t>
      </w:r>
      <w:r>
        <w:rPr>
          <w:rFonts w:hint="eastAsia" w:ascii="宋体" w:hAnsi="宋体"/>
          <w:snapToGrid w:val="0"/>
          <w:kern w:val="0"/>
          <w:szCs w:val="21"/>
          <w:u w:val="single"/>
        </w:rPr>
        <w:t xml:space="preserve">  </w:t>
      </w:r>
      <w:r>
        <w:rPr>
          <w:rFonts w:ascii="宋体" w:hAnsi="宋体"/>
          <w:snapToGrid w:val="0"/>
          <w:kern w:val="0"/>
          <w:szCs w:val="21"/>
          <w:u w:val="single"/>
        </w:rPr>
        <w:t xml:space="preserve">_   </w:t>
      </w:r>
      <w:r>
        <w:rPr>
          <w:rFonts w:ascii="宋体" w:hAnsi="宋体"/>
          <w:snapToGrid w:val="0"/>
          <w:kern w:val="0"/>
          <w:szCs w:val="21"/>
        </w:rPr>
        <w:t>。</w:t>
      </w:r>
    </w:p>
    <w:p w14:paraId="7A372389">
      <w:pPr>
        <w:rPr>
          <w:rFonts w:ascii="宋体" w:hAnsi="宋体"/>
          <w:snapToGrid w:val="0"/>
          <w:kern w:val="0"/>
          <w:szCs w:val="21"/>
        </w:rPr>
      </w:pPr>
      <w:r>
        <w:rPr>
          <w:rFonts w:ascii="宋体" w:hAnsi="宋体"/>
          <w:snapToGrid w:val="0"/>
          <w:kern w:val="0"/>
          <w:szCs w:val="21"/>
        </w:rPr>
        <w:t xml:space="preserve">A 限制或禁止进出口        B 组织生产                  C 价格干预     </w:t>
      </w:r>
    </w:p>
    <w:p w14:paraId="3BA05DA3">
      <w:pPr>
        <w:rPr>
          <w:rFonts w:ascii="宋体" w:hAnsi="宋体"/>
          <w:snapToGrid w:val="0"/>
          <w:kern w:val="0"/>
          <w:szCs w:val="21"/>
        </w:rPr>
      </w:pPr>
      <w:r>
        <w:rPr>
          <w:rFonts w:ascii="宋体" w:hAnsi="宋体"/>
          <w:snapToGrid w:val="0"/>
          <w:kern w:val="0"/>
          <w:szCs w:val="21"/>
        </w:rPr>
        <w:t>D 扩大进口                E 限制或禁止出口</w:t>
      </w:r>
    </w:p>
    <w:p w14:paraId="0A6223B4">
      <w:pPr>
        <w:rPr>
          <w:rFonts w:ascii="宋体" w:hAnsi="宋体"/>
          <w:snapToGrid w:val="0"/>
          <w:kern w:val="0"/>
          <w:szCs w:val="21"/>
        </w:rPr>
      </w:pPr>
      <w:r>
        <w:rPr>
          <w:rFonts w:ascii="宋体" w:hAnsi="宋体"/>
          <w:snapToGrid w:val="0"/>
          <w:kern w:val="0"/>
          <w:szCs w:val="21"/>
        </w:rPr>
        <w:t xml:space="preserve">（    ）8. 《药品生产许可证》许可事项变更包括   </w:t>
      </w:r>
    </w:p>
    <w:p w14:paraId="5C6C9A68">
      <w:pPr>
        <w:rPr>
          <w:rFonts w:ascii="宋体" w:hAnsi="宋体"/>
          <w:snapToGrid w:val="0"/>
          <w:kern w:val="0"/>
          <w:szCs w:val="21"/>
        </w:rPr>
      </w:pPr>
      <w:r>
        <w:rPr>
          <w:rFonts w:ascii="宋体" w:hAnsi="宋体"/>
          <w:snapToGrid w:val="0"/>
          <w:kern w:val="0"/>
          <w:szCs w:val="21"/>
        </w:rPr>
        <w:t>A 企业名称     B 企业负责人      C 生产范围     D 生产地址     E 法定代表人</w:t>
      </w:r>
    </w:p>
    <w:p w14:paraId="6E7790EA">
      <w:pPr>
        <w:rPr>
          <w:rFonts w:ascii="宋体" w:hAnsi="宋体"/>
          <w:snapToGrid w:val="0"/>
          <w:kern w:val="0"/>
          <w:szCs w:val="21"/>
        </w:rPr>
      </w:pPr>
      <w:r>
        <w:rPr>
          <w:rFonts w:ascii="宋体" w:hAnsi="宋体"/>
          <w:snapToGrid w:val="0"/>
          <w:kern w:val="0"/>
          <w:szCs w:val="21"/>
        </w:rPr>
        <w:t xml:space="preserve">（    ）9. GSP规定，药品批发企业应根据药品的质量特性对药品进行合理储存，并符合以下要求： </w:t>
      </w:r>
    </w:p>
    <w:p w14:paraId="0AF0CBD9">
      <w:pPr>
        <w:rPr>
          <w:rFonts w:ascii="宋体" w:hAnsi="宋体"/>
          <w:snapToGrid w:val="0"/>
          <w:kern w:val="0"/>
          <w:szCs w:val="21"/>
        </w:rPr>
      </w:pPr>
      <w:r>
        <w:rPr>
          <w:rFonts w:ascii="宋体" w:hAnsi="宋体"/>
          <w:snapToGrid w:val="0"/>
          <w:kern w:val="0"/>
          <w:szCs w:val="21"/>
        </w:rPr>
        <w:t xml:space="preserve">A 按包装标示的温度要求储存药品 </w:t>
      </w:r>
    </w:p>
    <w:p w14:paraId="763CF1C3">
      <w:pPr>
        <w:rPr>
          <w:rFonts w:ascii="宋体" w:hAnsi="宋体"/>
          <w:snapToGrid w:val="0"/>
          <w:kern w:val="0"/>
          <w:szCs w:val="21"/>
        </w:rPr>
      </w:pPr>
      <w:r>
        <w:rPr>
          <w:rFonts w:ascii="宋体" w:hAnsi="宋体"/>
          <w:snapToGrid w:val="0"/>
          <w:kern w:val="0"/>
          <w:szCs w:val="21"/>
        </w:rPr>
        <w:t xml:space="preserve">B 储存药品相对湿度为45%-65%； </w:t>
      </w:r>
    </w:p>
    <w:p w14:paraId="3BF7E5A2">
      <w:pPr>
        <w:rPr>
          <w:rFonts w:ascii="宋体" w:hAnsi="宋体"/>
          <w:snapToGrid w:val="0"/>
          <w:kern w:val="0"/>
          <w:szCs w:val="21"/>
        </w:rPr>
      </w:pPr>
      <w:r>
        <w:rPr>
          <w:rFonts w:ascii="宋体" w:hAnsi="宋体"/>
          <w:snapToGrid w:val="0"/>
          <w:kern w:val="0"/>
          <w:szCs w:val="21"/>
        </w:rPr>
        <w:t xml:space="preserve">C 按质量状态实行色标管理 </w:t>
      </w:r>
    </w:p>
    <w:p w14:paraId="4251A032">
      <w:pPr>
        <w:rPr>
          <w:rFonts w:ascii="宋体" w:hAnsi="宋体"/>
          <w:snapToGrid w:val="0"/>
          <w:kern w:val="0"/>
          <w:szCs w:val="21"/>
        </w:rPr>
      </w:pPr>
      <w:r>
        <w:rPr>
          <w:rFonts w:ascii="宋体" w:hAnsi="宋体"/>
          <w:snapToGrid w:val="0"/>
          <w:kern w:val="0"/>
          <w:szCs w:val="21"/>
        </w:rPr>
        <w:t xml:space="preserve">D 储存药品应按要求采取避光、遮光、通风、防潮、防虫、防鼠等措施； </w:t>
      </w:r>
    </w:p>
    <w:p w14:paraId="5700D98E">
      <w:pPr>
        <w:rPr>
          <w:rFonts w:ascii="宋体" w:hAnsi="宋体"/>
          <w:snapToGrid w:val="0"/>
          <w:kern w:val="0"/>
          <w:szCs w:val="21"/>
        </w:rPr>
      </w:pPr>
      <w:r>
        <w:rPr>
          <w:rFonts w:ascii="宋体" w:hAnsi="宋体"/>
          <w:snapToGrid w:val="0"/>
          <w:kern w:val="0"/>
          <w:szCs w:val="21"/>
        </w:rPr>
        <w:t>E 药品按批号堆码，不同批号的药品可以混垛</w:t>
      </w:r>
    </w:p>
    <w:p w14:paraId="6C24A1CC">
      <w:pPr>
        <w:rPr>
          <w:rFonts w:ascii="宋体" w:hAnsi="宋体"/>
          <w:snapToGrid w:val="0"/>
          <w:kern w:val="0"/>
          <w:szCs w:val="21"/>
        </w:rPr>
      </w:pPr>
      <w:r>
        <w:rPr>
          <w:rFonts w:ascii="宋体" w:hAnsi="宋体"/>
          <w:snapToGrid w:val="0"/>
          <w:kern w:val="0"/>
          <w:szCs w:val="21"/>
        </w:rPr>
        <w:t xml:space="preserve">（    ）10. 下列关于有效期药品的管理，正确的是   </w:t>
      </w:r>
    </w:p>
    <w:p w14:paraId="56A8C704">
      <w:pPr>
        <w:rPr>
          <w:rFonts w:ascii="宋体" w:hAnsi="宋体"/>
          <w:snapToGrid w:val="0"/>
          <w:kern w:val="0"/>
          <w:szCs w:val="21"/>
        </w:rPr>
      </w:pPr>
      <w:r>
        <w:rPr>
          <w:rFonts w:ascii="宋体" w:hAnsi="宋体"/>
          <w:snapToGrid w:val="0"/>
          <w:kern w:val="0"/>
          <w:szCs w:val="21"/>
        </w:rPr>
        <w:t xml:space="preserve">A按批号堆放或上架           </w:t>
      </w:r>
    </w:p>
    <w:p w14:paraId="5AA7563E">
      <w:pPr>
        <w:rPr>
          <w:rFonts w:ascii="宋体" w:hAnsi="宋体"/>
          <w:snapToGrid w:val="0"/>
          <w:kern w:val="0"/>
          <w:szCs w:val="21"/>
        </w:rPr>
      </w:pPr>
      <w:r>
        <w:rPr>
          <w:rFonts w:ascii="宋体" w:hAnsi="宋体"/>
          <w:snapToGrid w:val="0"/>
          <w:kern w:val="0"/>
          <w:szCs w:val="21"/>
        </w:rPr>
        <w:t xml:space="preserve">B出库遵循先产先出       </w:t>
      </w:r>
    </w:p>
    <w:p w14:paraId="14F4B129">
      <w:pPr>
        <w:rPr>
          <w:rFonts w:ascii="宋体" w:hAnsi="宋体"/>
          <w:snapToGrid w:val="0"/>
          <w:kern w:val="0"/>
          <w:szCs w:val="21"/>
        </w:rPr>
      </w:pPr>
      <w:r>
        <w:rPr>
          <w:rFonts w:ascii="宋体" w:hAnsi="宋体"/>
          <w:snapToGrid w:val="0"/>
          <w:kern w:val="0"/>
          <w:szCs w:val="21"/>
        </w:rPr>
        <w:t>C出库遵循近期先出</w:t>
      </w:r>
    </w:p>
    <w:p w14:paraId="0B0A4F6C">
      <w:pPr>
        <w:rPr>
          <w:rFonts w:ascii="宋体" w:hAnsi="宋体"/>
          <w:snapToGrid w:val="0"/>
          <w:kern w:val="0"/>
          <w:szCs w:val="21"/>
        </w:rPr>
      </w:pPr>
      <w:r>
        <w:rPr>
          <w:rFonts w:ascii="宋体" w:hAnsi="宋体"/>
          <w:snapToGrid w:val="0"/>
          <w:kern w:val="0"/>
          <w:szCs w:val="21"/>
        </w:rPr>
        <w:t xml:space="preserve">D出库遵循按批号发货的原则   </w:t>
      </w:r>
    </w:p>
    <w:p w14:paraId="0E1C846D">
      <w:pPr>
        <w:rPr>
          <w:rFonts w:ascii="宋体" w:hAnsi="宋体"/>
          <w:snapToGrid w:val="0"/>
          <w:kern w:val="0"/>
          <w:szCs w:val="21"/>
        </w:rPr>
      </w:pPr>
      <w:r>
        <w:rPr>
          <w:rFonts w:ascii="宋体" w:hAnsi="宋体"/>
          <w:snapToGrid w:val="0"/>
          <w:kern w:val="0"/>
          <w:szCs w:val="21"/>
        </w:rPr>
        <w:t>E过期药品需单独存放、销毁</w:t>
      </w:r>
    </w:p>
    <w:p w14:paraId="471F67D1">
      <w:pPr>
        <w:rPr>
          <w:rFonts w:ascii="宋体" w:hAnsi="宋体"/>
          <w:snapToGrid w:val="0"/>
          <w:kern w:val="0"/>
          <w:szCs w:val="21"/>
        </w:rPr>
      </w:pPr>
      <w:r>
        <w:rPr>
          <w:rFonts w:ascii="宋体" w:hAnsi="宋体"/>
          <w:snapToGrid w:val="0"/>
          <w:kern w:val="0"/>
          <w:szCs w:val="21"/>
        </w:rPr>
        <w:t xml:space="preserve">（    ）11. 依据处方管理办法，关于处方时限的规定，下列正确的是  </w:t>
      </w:r>
    </w:p>
    <w:p w14:paraId="45BFF5E3">
      <w:pPr>
        <w:rPr>
          <w:rFonts w:ascii="宋体" w:hAnsi="宋体"/>
          <w:snapToGrid w:val="0"/>
          <w:kern w:val="0"/>
          <w:szCs w:val="21"/>
        </w:rPr>
      </w:pPr>
      <w:r>
        <w:rPr>
          <w:rFonts w:ascii="宋体" w:hAnsi="宋体"/>
          <w:snapToGrid w:val="0"/>
          <w:kern w:val="0"/>
          <w:szCs w:val="21"/>
        </w:rPr>
        <w:t>A 处方开具3日内有效.</w:t>
      </w:r>
    </w:p>
    <w:p w14:paraId="564C35D7">
      <w:pPr>
        <w:rPr>
          <w:rFonts w:ascii="宋体" w:hAnsi="宋体"/>
          <w:snapToGrid w:val="0"/>
          <w:kern w:val="0"/>
          <w:szCs w:val="21"/>
        </w:rPr>
      </w:pPr>
      <w:r>
        <w:rPr>
          <w:rFonts w:ascii="宋体" w:hAnsi="宋体"/>
          <w:snapToGrid w:val="0"/>
          <w:kern w:val="0"/>
          <w:szCs w:val="21"/>
        </w:rPr>
        <w:t>B 处方开具当日有效</w:t>
      </w:r>
    </w:p>
    <w:p w14:paraId="5BDE3D68">
      <w:pPr>
        <w:rPr>
          <w:rFonts w:ascii="宋体" w:hAnsi="宋体"/>
          <w:snapToGrid w:val="0"/>
          <w:kern w:val="0"/>
          <w:szCs w:val="21"/>
        </w:rPr>
      </w:pPr>
      <w:r>
        <w:rPr>
          <w:rFonts w:ascii="宋体" w:hAnsi="宋体"/>
          <w:snapToGrid w:val="0"/>
          <w:kern w:val="0"/>
          <w:szCs w:val="21"/>
        </w:rPr>
        <w:t>C 处方在医疗机构妥善保存，普通处方、急诊处方、儿科处方保存期限为1年</w:t>
      </w:r>
    </w:p>
    <w:p w14:paraId="28CF180F">
      <w:pPr>
        <w:rPr>
          <w:rFonts w:ascii="宋体" w:hAnsi="宋体"/>
          <w:snapToGrid w:val="0"/>
          <w:kern w:val="0"/>
          <w:szCs w:val="21"/>
        </w:rPr>
      </w:pPr>
      <w:r>
        <w:rPr>
          <w:rFonts w:ascii="宋体" w:hAnsi="宋体"/>
          <w:snapToGrid w:val="0"/>
          <w:kern w:val="0"/>
          <w:szCs w:val="21"/>
        </w:rPr>
        <w:t>D 精神药品处方保存期限为2年</w:t>
      </w:r>
    </w:p>
    <w:p w14:paraId="755A9DA7">
      <w:pPr>
        <w:rPr>
          <w:rFonts w:ascii="宋体" w:hAnsi="宋体"/>
          <w:snapToGrid w:val="0"/>
          <w:kern w:val="0"/>
          <w:szCs w:val="21"/>
        </w:rPr>
      </w:pPr>
      <w:r>
        <w:rPr>
          <w:rFonts w:ascii="宋体" w:hAnsi="宋体"/>
          <w:snapToGrid w:val="0"/>
          <w:kern w:val="0"/>
          <w:szCs w:val="21"/>
        </w:rPr>
        <w:t>E 麻醉药品保存期限为3年</w:t>
      </w:r>
    </w:p>
    <w:p w14:paraId="79C84B30">
      <w:pPr>
        <w:rPr>
          <w:rFonts w:ascii="宋体" w:hAnsi="宋体"/>
          <w:snapToGrid w:val="0"/>
          <w:kern w:val="0"/>
          <w:szCs w:val="21"/>
        </w:rPr>
      </w:pPr>
      <w:r>
        <w:rPr>
          <w:rFonts w:ascii="宋体" w:hAnsi="宋体"/>
          <w:snapToGrid w:val="0"/>
          <w:kern w:val="0"/>
          <w:szCs w:val="21"/>
        </w:rPr>
        <w:t xml:space="preserve">（    ）12. 下列应判定为超常处方的是   </w:t>
      </w:r>
    </w:p>
    <w:p w14:paraId="4805C1C8">
      <w:pPr>
        <w:rPr>
          <w:rFonts w:ascii="宋体" w:hAnsi="宋体"/>
          <w:snapToGrid w:val="0"/>
          <w:kern w:val="0"/>
          <w:szCs w:val="21"/>
        </w:rPr>
      </w:pPr>
      <w:r>
        <w:rPr>
          <w:rFonts w:ascii="宋体" w:hAnsi="宋体"/>
          <w:snapToGrid w:val="0"/>
          <w:kern w:val="0"/>
          <w:szCs w:val="21"/>
        </w:rPr>
        <w:t xml:space="preserve">A 无适应症用药         </w:t>
      </w:r>
    </w:p>
    <w:p w14:paraId="2424E499">
      <w:pPr>
        <w:rPr>
          <w:rFonts w:ascii="宋体" w:hAnsi="宋体"/>
          <w:snapToGrid w:val="0"/>
          <w:kern w:val="0"/>
          <w:szCs w:val="21"/>
        </w:rPr>
      </w:pPr>
      <w:r>
        <w:rPr>
          <w:rFonts w:ascii="宋体" w:hAnsi="宋体"/>
          <w:snapToGrid w:val="0"/>
          <w:kern w:val="0"/>
          <w:szCs w:val="21"/>
        </w:rPr>
        <w:t>B 有配伍禁忌或者不良相互作用的</w:t>
      </w:r>
    </w:p>
    <w:p w14:paraId="5D5BFB89">
      <w:pPr>
        <w:rPr>
          <w:rFonts w:ascii="宋体" w:hAnsi="宋体"/>
          <w:snapToGrid w:val="0"/>
          <w:kern w:val="0"/>
          <w:szCs w:val="21"/>
        </w:rPr>
      </w:pPr>
      <w:r>
        <w:rPr>
          <w:rFonts w:ascii="宋体" w:hAnsi="宋体"/>
          <w:snapToGrid w:val="0"/>
          <w:kern w:val="0"/>
          <w:szCs w:val="21"/>
        </w:rPr>
        <w:t xml:space="preserve">C 无正当理由开具高价药的               </w:t>
      </w:r>
    </w:p>
    <w:p w14:paraId="6049F2A7">
      <w:pPr>
        <w:rPr>
          <w:rFonts w:ascii="宋体" w:hAnsi="宋体"/>
          <w:snapToGrid w:val="0"/>
          <w:kern w:val="0"/>
          <w:szCs w:val="21"/>
        </w:rPr>
      </w:pPr>
      <w:r>
        <w:rPr>
          <w:rFonts w:ascii="宋体" w:hAnsi="宋体"/>
          <w:snapToGrid w:val="0"/>
          <w:kern w:val="0"/>
          <w:szCs w:val="21"/>
        </w:rPr>
        <w:t>D 无正当理由超说明书用药的</w:t>
      </w:r>
    </w:p>
    <w:p w14:paraId="44025863">
      <w:pPr>
        <w:rPr>
          <w:rFonts w:ascii="宋体" w:hAnsi="宋体"/>
          <w:snapToGrid w:val="0"/>
          <w:kern w:val="0"/>
          <w:szCs w:val="21"/>
        </w:rPr>
      </w:pPr>
      <w:r>
        <w:rPr>
          <w:rFonts w:ascii="宋体" w:hAnsi="宋体"/>
          <w:snapToGrid w:val="0"/>
          <w:kern w:val="0"/>
          <w:szCs w:val="21"/>
        </w:rPr>
        <w:t>E 重复给药的</w:t>
      </w:r>
    </w:p>
    <w:p w14:paraId="6699B603">
      <w:pPr>
        <w:rPr>
          <w:rFonts w:ascii="宋体" w:hAnsi="宋体"/>
          <w:snapToGrid w:val="0"/>
          <w:kern w:val="0"/>
          <w:szCs w:val="21"/>
        </w:rPr>
      </w:pPr>
      <w:r>
        <w:rPr>
          <w:rFonts w:ascii="宋体" w:hAnsi="宋体"/>
          <w:snapToGrid w:val="0"/>
          <w:kern w:val="0"/>
          <w:szCs w:val="21"/>
        </w:rPr>
        <w:t xml:space="preserve">（    ）13. 下列属于A型不良反应的是    </w:t>
      </w:r>
    </w:p>
    <w:p w14:paraId="66134FCC">
      <w:pPr>
        <w:rPr>
          <w:rFonts w:ascii="宋体" w:hAnsi="宋体"/>
          <w:snapToGrid w:val="0"/>
          <w:kern w:val="0"/>
          <w:szCs w:val="21"/>
        </w:rPr>
      </w:pPr>
      <w:r>
        <w:rPr>
          <w:rFonts w:ascii="宋体" w:hAnsi="宋体"/>
          <w:snapToGrid w:val="0"/>
          <w:kern w:val="0"/>
          <w:szCs w:val="21"/>
        </w:rPr>
        <w:t>A 特异质反应    B 毒性反应     C 过敏反应     D 后遗效应     E 首剂效应</w:t>
      </w:r>
    </w:p>
    <w:p w14:paraId="17D2B655">
      <w:pPr>
        <w:rPr>
          <w:rFonts w:ascii="宋体" w:hAnsi="宋体"/>
          <w:snapToGrid w:val="0"/>
          <w:kern w:val="0"/>
          <w:szCs w:val="21"/>
        </w:rPr>
      </w:pPr>
      <w:r>
        <w:rPr>
          <w:rFonts w:ascii="宋体" w:hAnsi="宋体"/>
          <w:snapToGrid w:val="0"/>
          <w:kern w:val="0"/>
          <w:szCs w:val="21"/>
        </w:rPr>
        <w:t xml:space="preserve">（    ）14. 药品标签的管理，叙述正确的是  </w:t>
      </w:r>
    </w:p>
    <w:p w14:paraId="53151E80">
      <w:pPr>
        <w:rPr>
          <w:rFonts w:ascii="宋体" w:hAnsi="宋体"/>
          <w:snapToGrid w:val="0"/>
          <w:kern w:val="0"/>
          <w:szCs w:val="21"/>
        </w:rPr>
      </w:pPr>
      <w:r>
        <w:rPr>
          <w:rFonts w:ascii="宋体" w:hAnsi="宋体"/>
          <w:snapToGrid w:val="0"/>
          <w:kern w:val="0"/>
          <w:szCs w:val="21"/>
        </w:rPr>
        <w:t>A 商品名不得与通用名同行书写</w:t>
      </w:r>
    </w:p>
    <w:p w14:paraId="449FDC9C">
      <w:pPr>
        <w:rPr>
          <w:rFonts w:ascii="宋体" w:hAnsi="宋体"/>
          <w:snapToGrid w:val="0"/>
          <w:kern w:val="0"/>
          <w:szCs w:val="21"/>
        </w:rPr>
      </w:pPr>
      <w:r>
        <w:rPr>
          <w:rFonts w:ascii="宋体" w:hAnsi="宋体"/>
          <w:snapToGrid w:val="0"/>
          <w:kern w:val="0"/>
          <w:szCs w:val="21"/>
        </w:rPr>
        <w:t>B 商品名字体不得比通用名更突出和显著，以单字面积计不得大于通用名所用字体的1/4</w:t>
      </w:r>
    </w:p>
    <w:p w14:paraId="1011A96F">
      <w:pPr>
        <w:rPr>
          <w:rFonts w:ascii="宋体" w:hAnsi="宋体"/>
          <w:snapToGrid w:val="0"/>
          <w:kern w:val="0"/>
          <w:szCs w:val="21"/>
        </w:rPr>
      </w:pPr>
      <w:r>
        <w:rPr>
          <w:rFonts w:ascii="宋体" w:hAnsi="宋体"/>
          <w:snapToGrid w:val="0"/>
          <w:kern w:val="0"/>
          <w:szCs w:val="21"/>
        </w:rPr>
        <w:t>C 商品名颜色不得比通用名更突出和显著</w:t>
      </w:r>
    </w:p>
    <w:p w14:paraId="016DB1D7">
      <w:pPr>
        <w:rPr>
          <w:rFonts w:ascii="宋体" w:hAnsi="宋体"/>
          <w:snapToGrid w:val="0"/>
          <w:kern w:val="0"/>
          <w:szCs w:val="21"/>
        </w:rPr>
      </w:pPr>
      <w:r>
        <w:rPr>
          <w:rFonts w:ascii="宋体" w:hAnsi="宋体"/>
          <w:snapToGrid w:val="0"/>
          <w:kern w:val="0"/>
          <w:szCs w:val="21"/>
        </w:rPr>
        <w:t>D 药品说明书和标签中禁止使用未经注册的商标。</w:t>
      </w:r>
    </w:p>
    <w:p w14:paraId="4A9035B3">
      <w:pPr>
        <w:rPr>
          <w:rFonts w:ascii="宋体" w:hAnsi="宋体"/>
          <w:snapToGrid w:val="0"/>
          <w:kern w:val="0"/>
          <w:szCs w:val="21"/>
        </w:rPr>
      </w:pPr>
      <w:r>
        <w:rPr>
          <w:rFonts w:ascii="宋体" w:hAnsi="宋体"/>
          <w:snapToGrid w:val="0"/>
          <w:kern w:val="0"/>
          <w:szCs w:val="21"/>
        </w:rPr>
        <w:t>E 注册商标应印刷在药品标签的边角，含文字的，其字体以单字面积计不得大于通用名所用字体的1/2</w:t>
      </w:r>
    </w:p>
    <w:p w14:paraId="14AE5391">
      <w:pPr>
        <w:rPr>
          <w:rFonts w:ascii="宋体" w:hAnsi="宋体"/>
          <w:b/>
          <w:snapToGrid w:val="0"/>
          <w:kern w:val="0"/>
          <w:szCs w:val="21"/>
        </w:rPr>
      </w:pPr>
      <w:r>
        <w:rPr>
          <w:rFonts w:ascii="宋体" w:hAnsi="宋体"/>
          <w:b/>
          <w:snapToGrid w:val="0"/>
          <w:kern w:val="0"/>
          <w:szCs w:val="21"/>
        </w:rPr>
        <w:t>三、判断题</w:t>
      </w:r>
    </w:p>
    <w:p w14:paraId="00EBD9C0">
      <w:pPr>
        <w:rPr>
          <w:rFonts w:ascii="宋体" w:hAnsi="宋体"/>
          <w:snapToGrid w:val="0"/>
          <w:kern w:val="0"/>
          <w:szCs w:val="21"/>
        </w:rPr>
      </w:pPr>
      <w:r>
        <w:rPr>
          <w:rFonts w:ascii="宋体" w:hAnsi="宋体"/>
          <w:snapToGrid w:val="0"/>
          <w:kern w:val="0"/>
          <w:szCs w:val="21"/>
        </w:rPr>
        <w:t>（   ）1. 新药是指未在中国境内上市销售的药品。</w:t>
      </w:r>
    </w:p>
    <w:p w14:paraId="2EE42084">
      <w:pPr>
        <w:rPr>
          <w:rFonts w:ascii="宋体" w:hAnsi="宋体"/>
          <w:snapToGrid w:val="0"/>
          <w:kern w:val="0"/>
          <w:szCs w:val="21"/>
        </w:rPr>
      </w:pPr>
      <w:r>
        <w:rPr>
          <w:rFonts w:ascii="宋体" w:hAnsi="宋体"/>
          <w:snapToGrid w:val="0"/>
          <w:kern w:val="0"/>
          <w:szCs w:val="21"/>
        </w:rPr>
        <w:t xml:space="preserve">（   ）2. 执业药师注册证有效期为3年。 </w:t>
      </w:r>
    </w:p>
    <w:p w14:paraId="7AED444C">
      <w:pPr>
        <w:rPr>
          <w:rFonts w:ascii="宋体" w:hAnsi="宋体"/>
          <w:snapToGrid w:val="0"/>
          <w:kern w:val="0"/>
          <w:szCs w:val="21"/>
        </w:rPr>
      </w:pPr>
      <w:r>
        <w:rPr>
          <w:rFonts w:ascii="宋体" w:hAnsi="宋体"/>
          <w:snapToGrid w:val="0"/>
          <w:kern w:val="0"/>
          <w:szCs w:val="21"/>
        </w:rPr>
        <w:t xml:space="preserve">（   ）3. 《药品管理法》2019版规定，在中国境内上市的药品，应当经省级药品监督管理部门批准，取得药品注册证书。   </w:t>
      </w:r>
    </w:p>
    <w:p w14:paraId="67840E7B">
      <w:pPr>
        <w:rPr>
          <w:rFonts w:ascii="宋体" w:hAnsi="宋体"/>
          <w:snapToGrid w:val="0"/>
          <w:kern w:val="0"/>
          <w:szCs w:val="21"/>
        </w:rPr>
      </w:pPr>
      <w:r>
        <w:rPr>
          <w:rFonts w:ascii="宋体" w:hAnsi="宋体"/>
          <w:snapToGrid w:val="0"/>
          <w:kern w:val="0"/>
          <w:szCs w:val="21"/>
        </w:rPr>
        <w:t>（   ）4. GMP规定，纯化水可采用循环，注射用水采用80℃以上保温循环。</w:t>
      </w:r>
    </w:p>
    <w:p w14:paraId="0F0FAEE9">
      <w:pPr>
        <w:rPr>
          <w:rFonts w:ascii="宋体" w:hAnsi="宋体"/>
          <w:snapToGrid w:val="0"/>
          <w:kern w:val="0"/>
          <w:szCs w:val="21"/>
        </w:rPr>
      </w:pPr>
      <w:r>
        <w:rPr>
          <w:rFonts w:ascii="宋体" w:hAnsi="宋体"/>
          <w:snapToGrid w:val="0"/>
          <w:kern w:val="0"/>
          <w:szCs w:val="21"/>
        </w:rPr>
        <w:t xml:space="preserve">（   ）5. 《药品经营和使用质量监督管理办法》规定，药品零售企业应遵守国家处方药与非处方药分类管理制度， 按规定凭处方销售处方药，处方保留不少于五年。 </w:t>
      </w:r>
    </w:p>
    <w:p w14:paraId="273533F0">
      <w:pPr>
        <w:rPr>
          <w:rFonts w:ascii="宋体" w:hAnsi="宋体"/>
          <w:snapToGrid w:val="0"/>
          <w:kern w:val="0"/>
          <w:szCs w:val="21"/>
        </w:rPr>
      </w:pPr>
      <w:r>
        <w:rPr>
          <w:rFonts w:ascii="宋体" w:hAnsi="宋体"/>
          <w:snapToGrid w:val="0"/>
          <w:kern w:val="0"/>
          <w:szCs w:val="21"/>
        </w:rPr>
        <w:t>（   ）6. 医疗机构配制制剂，应当是本单位临床、科研需要而市场上供应不足的品种。</w:t>
      </w:r>
    </w:p>
    <w:p w14:paraId="210818F4">
      <w:pPr>
        <w:rPr>
          <w:rFonts w:ascii="宋体" w:hAnsi="宋体"/>
          <w:snapToGrid w:val="0"/>
          <w:kern w:val="0"/>
          <w:szCs w:val="21"/>
        </w:rPr>
      </w:pPr>
      <w:r>
        <w:rPr>
          <w:rFonts w:ascii="宋体" w:hAnsi="宋体"/>
          <w:snapToGrid w:val="0"/>
          <w:kern w:val="0"/>
          <w:szCs w:val="21"/>
        </w:rPr>
        <w:t>（   ）7. 设立新药监测期的国产药品，自取得批准证明文件之日起每满1年提交一次定期安全性更新报告，直至首次再注册；之后每5年报告一次。</w:t>
      </w:r>
    </w:p>
    <w:p w14:paraId="0908621A">
      <w:pPr>
        <w:rPr>
          <w:rFonts w:ascii="宋体" w:hAnsi="宋体"/>
          <w:snapToGrid w:val="0"/>
          <w:kern w:val="0"/>
          <w:szCs w:val="21"/>
        </w:rPr>
      </w:pPr>
      <w:r>
        <w:rPr>
          <w:rFonts w:ascii="宋体" w:hAnsi="宋体"/>
          <w:snapToGrid w:val="0"/>
          <w:kern w:val="0"/>
          <w:szCs w:val="21"/>
        </w:rPr>
        <w:t>（   ）8. 药品广告中必须标明药品生产企业或经营企业名称，不得单独出现“咨询热线”“咨询电话”等内容。</w:t>
      </w:r>
    </w:p>
    <w:p w14:paraId="1CDF830E">
      <w:pPr>
        <w:rPr>
          <w:rFonts w:ascii="宋体" w:hAnsi="宋体"/>
          <w:b/>
          <w:snapToGrid w:val="0"/>
          <w:kern w:val="0"/>
          <w:szCs w:val="21"/>
        </w:rPr>
      </w:pPr>
      <w:r>
        <w:rPr>
          <w:rFonts w:ascii="宋体" w:hAnsi="宋体"/>
          <w:b/>
          <w:snapToGrid w:val="0"/>
          <w:kern w:val="0"/>
          <w:szCs w:val="21"/>
        </w:rPr>
        <w:t>四、问答题</w:t>
      </w:r>
    </w:p>
    <w:p w14:paraId="2DB05C4C">
      <w:pPr>
        <w:rPr>
          <w:rFonts w:ascii="宋体" w:hAnsi="宋体"/>
          <w:snapToGrid w:val="0"/>
          <w:kern w:val="0"/>
          <w:szCs w:val="21"/>
        </w:rPr>
      </w:pPr>
      <w:r>
        <w:rPr>
          <w:rFonts w:ascii="宋体" w:hAnsi="宋体"/>
          <w:snapToGrid w:val="0"/>
          <w:kern w:val="0"/>
          <w:szCs w:val="21"/>
        </w:rPr>
        <w:t>1. 简述中药保护品种的分级及其申报条件。</w:t>
      </w:r>
    </w:p>
    <w:p w14:paraId="55559EAF">
      <w:pPr>
        <w:rPr>
          <w:rFonts w:ascii="宋体" w:hAnsi="宋体"/>
          <w:snapToGrid w:val="0"/>
          <w:kern w:val="0"/>
          <w:szCs w:val="21"/>
        </w:rPr>
      </w:pPr>
      <w:r>
        <w:rPr>
          <w:rFonts w:ascii="宋体" w:hAnsi="宋体"/>
          <w:snapToGrid w:val="0"/>
          <w:kern w:val="0"/>
          <w:szCs w:val="21"/>
        </w:rPr>
        <w:t>3、阅读案例并回答问题：某药厂生产的注射用甲氨蝶呤，在使用后出现神经损害的群体性药品不良事件报告。国家药监局暂停生产、销售和使用该药品，并进行深入调查。发现该药厂违规生产，几种药品挤在同一条生产线上生产，仪器设备共用，中间清场疏漏，涉及的注射用甲氨蝶呤及盐酸阿糖胞苷等部分批号产品中混入了微量硫酸长春新碱，导致药品所含成分与国家药品标准不符合。</w:t>
      </w:r>
    </w:p>
    <w:p w14:paraId="55D30FBE">
      <w:pPr>
        <w:rPr>
          <w:rFonts w:ascii="宋体" w:hAnsi="宋体"/>
          <w:snapToGrid w:val="0"/>
          <w:kern w:val="0"/>
          <w:szCs w:val="21"/>
        </w:rPr>
      </w:pPr>
      <w:r>
        <w:rPr>
          <w:rFonts w:ascii="宋体" w:hAnsi="宋体"/>
          <w:snapToGrid w:val="0"/>
          <w:kern w:val="0"/>
          <w:szCs w:val="21"/>
        </w:rPr>
        <w:t>（1） 根据2019版《药品管理法》的规定，什么是假药？该注射用甲氨蝶呤属于假药还是劣药？</w:t>
      </w:r>
    </w:p>
    <w:p w14:paraId="33424C3A">
      <w:pPr>
        <w:rPr>
          <w:rFonts w:hint="eastAsia" w:ascii="宋体" w:hAnsi="宋体"/>
          <w:snapToGrid w:val="0"/>
          <w:kern w:val="0"/>
          <w:szCs w:val="21"/>
        </w:rPr>
      </w:pPr>
      <w:r>
        <w:rPr>
          <w:rFonts w:ascii="宋体" w:hAnsi="宋体"/>
          <w:snapToGrid w:val="0"/>
          <w:kern w:val="0"/>
          <w:szCs w:val="21"/>
        </w:rPr>
        <w:t>（2）你对该药害事件有什么体会？</w:t>
      </w:r>
    </w:p>
    <w:p w14:paraId="722041A1">
      <w:pPr>
        <w:rPr>
          <w:rFonts w:hint="eastAsia"/>
          <w:lang w:val="en-US" w:eastAsia="zh-CN"/>
        </w:rPr>
      </w:pPr>
      <w:r>
        <w:rPr>
          <w:rFonts w:hint="eastAsia"/>
          <w:lang w:val="en-US" w:eastAsia="zh-CN"/>
        </w:rPr>
        <w:t>参考答案、</w:t>
      </w:r>
    </w:p>
    <w:p w14:paraId="5A8245DC">
      <w:pPr>
        <w:numPr>
          <w:ilvl w:val="0"/>
          <w:numId w:val="1"/>
        </w:numPr>
        <w:rPr>
          <w:rFonts w:ascii="宋体" w:hAnsi="宋体"/>
          <w:b/>
          <w:snapToGrid w:val="0"/>
          <w:kern w:val="0"/>
          <w:szCs w:val="21"/>
        </w:rPr>
      </w:pPr>
      <w:r>
        <w:rPr>
          <w:rFonts w:ascii="宋体" w:hAnsi="宋体"/>
          <w:b/>
          <w:snapToGrid w:val="0"/>
          <w:kern w:val="0"/>
          <w:szCs w:val="21"/>
        </w:rPr>
        <w:t>单项选择题</w:t>
      </w:r>
    </w:p>
    <w:p w14:paraId="7A5F1CA5">
      <w:pPr>
        <w:numPr>
          <w:ilvl w:val="0"/>
          <w:numId w:val="0"/>
        </w:numPr>
        <w:rPr>
          <w:rFonts w:hint="default" w:ascii="宋体" w:hAnsi="宋体" w:eastAsia="宋体"/>
          <w:b/>
          <w:snapToGrid w:val="0"/>
          <w:kern w:val="0"/>
          <w:sz w:val="28"/>
          <w:szCs w:val="28"/>
          <w:lang w:val="en-US" w:eastAsia="zh-CN"/>
        </w:rPr>
      </w:pPr>
      <w:r>
        <w:rPr>
          <w:rFonts w:hint="eastAsia" w:ascii="宋体" w:hAnsi="宋体"/>
          <w:b/>
          <w:snapToGrid w:val="0"/>
          <w:kern w:val="0"/>
          <w:sz w:val="28"/>
          <w:szCs w:val="28"/>
          <w:lang w:val="en-US" w:eastAsia="zh-CN"/>
        </w:rPr>
        <w:t>1-5 CDCBC 6-10 ACCDA  11-15 DECCE 16-20 EBBCD 21-23 DCB</w:t>
      </w:r>
    </w:p>
    <w:p w14:paraId="75D1C9B8">
      <w:pPr>
        <w:numPr>
          <w:ilvl w:val="0"/>
          <w:numId w:val="1"/>
        </w:numPr>
        <w:ind w:left="0" w:leftChars="0" w:firstLine="0" w:firstLineChars="0"/>
        <w:rPr>
          <w:rFonts w:ascii="宋体" w:hAnsi="宋体"/>
          <w:b/>
          <w:bCs/>
          <w:snapToGrid w:val="0"/>
          <w:kern w:val="0"/>
          <w:szCs w:val="21"/>
        </w:rPr>
      </w:pPr>
      <w:r>
        <w:rPr>
          <w:rFonts w:ascii="宋体" w:hAnsi="宋体"/>
          <w:b/>
          <w:bCs/>
          <w:snapToGrid w:val="0"/>
          <w:kern w:val="0"/>
          <w:szCs w:val="21"/>
        </w:rPr>
        <w:t>多项选择题</w:t>
      </w:r>
    </w:p>
    <w:p w14:paraId="0B8A30E4">
      <w:pPr>
        <w:numPr>
          <w:ilvl w:val="0"/>
          <w:numId w:val="0"/>
        </w:numPr>
        <w:ind w:leftChars="0"/>
        <w:rPr>
          <w:rFonts w:hint="eastAsia" w:ascii="宋体" w:hAnsi="宋体"/>
          <w:b/>
          <w:bCs/>
          <w:snapToGrid w:val="0"/>
          <w:kern w:val="0"/>
          <w:sz w:val="28"/>
          <w:szCs w:val="28"/>
          <w:lang w:val="en-US" w:eastAsia="zh-CN"/>
        </w:rPr>
      </w:pPr>
      <w:r>
        <w:rPr>
          <w:rFonts w:hint="eastAsia" w:ascii="宋体" w:hAnsi="宋体"/>
          <w:b/>
          <w:bCs/>
          <w:snapToGrid w:val="0"/>
          <w:kern w:val="0"/>
          <w:sz w:val="28"/>
          <w:szCs w:val="28"/>
          <w:lang w:val="en-US" w:eastAsia="zh-CN"/>
        </w:rPr>
        <w:t xml:space="preserve">1-5 ABCD ACE ACE ABC ACD  6-10 BCDE BCDE CD ACE ABCDE </w:t>
      </w:r>
    </w:p>
    <w:p w14:paraId="0C271CA0">
      <w:pPr>
        <w:numPr>
          <w:ilvl w:val="0"/>
          <w:numId w:val="0"/>
        </w:numPr>
        <w:ind w:leftChars="0"/>
        <w:rPr>
          <w:rFonts w:hint="default" w:ascii="宋体" w:hAnsi="宋体" w:eastAsia="宋体"/>
          <w:b/>
          <w:bCs/>
          <w:snapToGrid w:val="0"/>
          <w:kern w:val="0"/>
          <w:sz w:val="28"/>
          <w:szCs w:val="28"/>
          <w:lang w:val="en-US" w:eastAsia="zh-CN"/>
        </w:rPr>
      </w:pPr>
      <w:r>
        <w:rPr>
          <w:rFonts w:hint="eastAsia" w:ascii="宋体" w:hAnsi="宋体"/>
          <w:b/>
          <w:bCs/>
          <w:snapToGrid w:val="0"/>
          <w:kern w:val="0"/>
          <w:sz w:val="28"/>
          <w:szCs w:val="28"/>
          <w:lang w:val="en-US" w:eastAsia="zh-CN"/>
        </w:rPr>
        <w:t xml:space="preserve">11-14 BCE ACD BDE ACD </w:t>
      </w:r>
    </w:p>
    <w:p w14:paraId="5F7D16C1">
      <w:pPr>
        <w:rPr>
          <w:rFonts w:ascii="宋体" w:hAnsi="宋体"/>
          <w:snapToGrid w:val="0"/>
          <w:kern w:val="0"/>
          <w:szCs w:val="21"/>
        </w:rPr>
      </w:pPr>
      <w:r>
        <w:rPr>
          <w:rFonts w:ascii="宋体" w:hAnsi="宋体"/>
          <w:b/>
          <w:bCs/>
          <w:snapToGrid w:val="0"/>
          <w:kern w:val="0"/>
          <w:szCs w:val="21"/>
        </w:rPr>
        <w:t>三、判断题</w:t>
      </w:r>
      <w:r>
        <w:rPr>
          <w:rFonts w:ascii="宋体" w:hAnsi="宋体"/>
          <w:snapToGrid w:val="0"/>
          <w:kern w:val="0"/>
          <w:szCs w:val="21"/>
        </w:rPr>
        <w:t>（   ）1. 新药是指未在中国境内上市销售的药品。×</w:t>
      </w:r>
    </w:p>
    <w:p w14:paraId="2D43B680">
      <w:pPr>
        <w:rPr>
          <w:rFonts w:ascii="宋体" w:hAnsi="宋体"/>
          <w:snapToGrid w:val="0"/>
          <w:kern w:val="0"/>
          <w:szCs w:val="21"/>
        </w:rPr>
      </w:pPr>
      <w:r>
        <w:rPr>
          <w:rFonts w:ascii="宋体" w:hAnsi="宋体"/>
          <w:snapToGrid w:val="0"/>
          <w:kern w:val="0"/>
          <w:szCs w:val="21"/>
        </w:rPr>
        <w:t>（   ）2. 执业药师注册证有效期为3年。 ×</w:t>
      </w:r>
    </w:p>
    <w:p w14:paraId="25F53A1B">
      <w:pPr>
        <w:rPr>
          <w:rFonts w:ascii="宋体" w:hAnsi="宋体"/>
          <w:snapToGrid w:val="0"/>
          <w:kern w:val="0"/>
          <w:szCs w:val="21"/>
        </w:rPr>
      </w:pPr>
      <w:r>
        <w:rPr>
          <w:rFonts w:ascii="宋体" w:hAnsi="宋体"/>
          <w:snapToGrid w:val="0"/>
          <w:kern w:val="0"/>
          <w:szCs w:val="21"/>
        </w:rPr>
        <w:t>（   ）3. 《药品管理法》2019版规定，在中国境内上市的药品，应当经省级药品监督管理部门批准，取得药品注册证书。   ×</w:t>
      </w:r>
    </w:p>
    <w:p w14:paraId="374989D7">
      <w:pPr>
        <w:rPr>
          <w:rFonts w:ascii="宋体" w:hAnsi="宋体"/>
          <w:snapToGrid w:val="0"/>
          <w:kern w:val="0"/>
          <w:szCs w:val="21"/>
        </w:rPr>
      </w:pPr>
      <w:r>
        <w:rPr>
          <w:rFonts w:ascii="宋体" w:hAnsi="宋体"/>
          <w:snapToGrid w:val="0"/>
          <w:kern w:val="0"/>
          <w:szCs w:val="21"/>
        </w:rPr>
        <w:t>（   ）4. GMP规定，纯化水可采用循环，注射用水采用80℃以上保温循环。×</w:t>
      </w:r>
    </w:p>
    <w:p w14:paraId="25EFC6F3">
      <w:pPr>
        <w:rPr>
          <w:rFonts w:ascii="宋体" w:hAnsi="宋体"/>
          <w:snapToGrid w:val="0"/>
          <w:kern w:val="0"/>
          <w:szCs w:val="21"/>
        </w:rPr>
      </w:pPr>
      <w:r>
        <w:rPr>
          <w:rFonts w:ascii="宋体" w:hAnsi="宋体"/>
          <w:snapToGrid w:val="0"/>
          <w:kern w:val="0"/>
          <w:szCs w:val="21"/>
        </w:rPr>
        <w:t>（   ）5. 《药品经营和使用质量监督管理办法》规定，药品零售企业应遵守国家处方药与非处方药分类管理制度， 按规定凭处方销售处方药，处方保留不少于五年。 √</w:t>
      </w:r>
    </w:p>
    <w:p w14:paraId="17CA6889">
      <w:pPr>
        <w:rPr>
          <w:rFonts w:ascii="宋体" w:hAnsi="宋体"/>
          <w:snapToGrid w:val="0"/>
          <w:kern w:val="0"/>
          <w:szCs w:val="21"/>
        </w:rPr>
      </w:pPr>
      <w:r>
        <w:rPr>
          <w:rFonts w:ascii="宋体" w:hAnsi="宋体"/>
          <w:snapToGrid w:val="0"/>
          <w:kern w:val="0"/>
          <w:szCs w:val="21"/>
        </w:rPr>
        <w:t>（   ）6. 医疗机构配制制剂，应当是本单位临床、科研需要而市场上供应不足的品种。×</w:t>
      </w:r>
    </w:p>
    <w:p w14:paraId="1465E157">
      <w:pPr>
        <w:rPr>
          <w:rFonts w:ascii="宋体" w:hAnsi="宋体"/>
          <w:snapToGrid w:val="0"/>
          <w:kern w:val="0"/>
          <w:szCs w:val="21"/>
        </w:rPr>
      </w:pPr>
      <w:r>
        <w:rPr>
          <w:rFonts w:ascii="宋体" w:hAnsi="宋体"/>
          <w:snapToGrid w:val="0"/>
          <w:kern w:val="0"/>
          <w:szCs w:val="21"/>
        </w:rPr>
        <w:t>（   ）7. 设立新药监测期的国产药品，自取得批准证明文件之日起每满1年提交一次定期安全性更新报告，直至首次再注册；之后每5年报告一次。√</w:t>
      </w:r>
    </w:p>
    <w:p w14:paraId="78985A95">
      <w:pPr>
        <w:rPr>
          <w:rFonts w:ascii="宋体" w:hAnsi="宋体"/>
          <w:snapToGrid w:val="0"/>
          <w:kern w:val="0"/>
          <w:szCs w:val="21"/>
        </w:rPr>
      </w:pPr>
      <w:r>
        <w:rPr>
          <w:rFonts w:ascii="宋体" w:hAnsi="宋体"/>
          <w:snapToGrid w:val="0"/>
          <w:kern w:val="0"/>
          <w:szCs w:val="21"/>
        </w:rPr>
        <w:t>（   ）8. 药品广告中必须标明药品生产企业或经营企业名称，不得单独出现“咨询热线”“咨询电话”等内容。√</w:t>
      </w:r>
    </w:p>
    <w:p w14:paraId="1F5E8117">
      <w:pPr>
        <w:rPr>
          <w:rFonts w:ascii="宋体" w:hAnsi="宋体"/>
          <w:b/>
          <w:bCs/>
          <w:snapToGrid w:val="0"/>
          <w:kern w:val="0"/>
          <w:szCs w:val="21"/>
        </w:rPr>
      </w:pPr>
      <w:r>
        <w:rPr>
          <w:rFonts w:ascii="宋体" w:hAnsi="宋体"/>
          <w:b/>
          <w:bCs/>
          <w:snapToGrid w:val="0"/>
          <w:kern w:val="0"/>
          <w:szCs w:val="21"/>
        </w:rPr>
        <w:t>四、问答题</w:t>
      </w:r>
    </w:p>
    <w:p w14:paraId="7AF457F0">
      <w:pPr>
        <w:rPr>
          <w:rFonts w:ascii="宋体" w:hAnsi="宋体"/>
          <w:snapToGrid w:val="0"/>
          <w:kern w:val="0"/>
          <w:szCs w:val="21"/>
        </w:rPr>
      </w:pPr>
      <w:r>
        <w:rPr>
          <w:rFonts w:ascii="宋体" w:hAnsi="宋体"/>
          <w:snapToGrid w:val="0"/>
          <w:kern w:val="0"/>
          <w:szCs w:val="21"/>
        </w:rPr>
        <w:t>1. 简述中药保护品种的分级及其申报条件。</w:t>
      </w:r>
    </w:p>
    <w:p w14:paraId="7472D2CB">
      <w:pPr>
        <w:rPr>
          <w:rFonts w:ascii="宋体" w:hAnsi="宋体"/>
          <w:snapToGrid w:val="0"/>
          <w:kern w:val="0"/>
          <w:szCs w:val="21"/>
        </w:rPr>
      </w:pPr>
      <w:r>
        <w:rPr>
          <w:rFonts w:ascii="宋体" w:hAnsi="宋体"/>
          <w:snapToGrid w:val="0"/>
          <w:kern w:val="0"/>
          <w:szCs w:val="21"/>
        </w:rPr>
        <w:t>答：受保护的中药品种分为一级和二级。</w:t>
      </w:r>
    </w:p>
    <w:p w14:paraId="552B38DE">
      <w:pPr>
        <w:rPr>
          <w:rFonts w:ascii="宋体" w:hAnsi="宋体"/>
          <w:snapToGrid w:val="0"/>
          <w:kern w:val="0"/>
          <w:szCs w:val="21"/>
        </w:rPr>
      </w:pPr>
      <w:r>
        <w:rPr>
          <w:rFonts w:ascii="宋体" w:hAnsi="宋体"/>
          <w:snapToGrid w:val="0"/>
          <w:kern w:val="0"/>
          <w:szCs w:val="21"/>
        </w:rPr>
        <w:t>符合下列条件之一的中药品种，可以申请一级保护：</w:t>
      </w:r>
    </w:p>
    <w:p w14:paraId="673CD3D7">
      <w:pPr>
        <w:rPr>
          <w:rFonts w:ascii="宋体" w:hAnsi="宋体"/>
          <w:snapToGrid w:val="0"/>
          <w:kern w:val="0"/>
          <w:szCs w:val="21"/>
        </w:rPr>
      </w:pPr>
      <w:r>
        <w:rPr>
          <w:rFonts w:ascii="宋体" w:hAnsi="宋体"/>
          <w:snapToGrid w:val="0"/>
          <w:kern w:val="0"/>
          <w:szCs w:val="21"/>
        </w:rPr>
        <w:t xml:space="preserve">    ①对特定疾病有特殊疗效的</w:t>
      </w:r>
    </w:p>
    <w:p w14:paraId="69187410">
      <w:pPr>
        <w:rPr>
          <w:rFonts w:ascii="宋体" w:hAnsi="宋体"/>
          <w:snapToGrid w:val="0"/>
          <w:kern w:val="0"/>
          <w:szCs w:val="21"/>
        </w:rPr>
      </w:pPr>
      <w:r>
        <w:rPr>
          <w:rFonts w:ascii="宋体" w:hAnsi="宋体"/>
          <w:snapToGrid w:val="0"/>
          <w:kern w:val="0"/>
          <w:szCs w:val="21"/>
        </w:rPr>
        <w:t xml:space="preserve">    ②相当于国家一级保护野生药材物种的人工制成品</w:t>
      </w:r>
    </w:p>
    <w:p w14:paraId="0EA61F53">
      <w:pPr>
        <w:rPr>
          <w:rFonts w:ascii="宋体" w:hAnsi="宋体"/>
          <w:snapToGrid w:val="0"/>
          <w:kern w:val="0"/>
          <w:szCs w:val="21"/>
        </w:rPr>
      </w:pPr>
      <w:r>
        <w:rPr>
          <w:rFonts w:ascii="宋体" w:hAnsi="宋体"/>
          <w:snapToGrid w:val="0"/>
          <w:kern w:val="0"/>
          <w:szCs w:val="21"/>
        </w:rPr>
        <w:t xml:space="preserve">    ③用于预防和治疗特殊疾病的</w:t>
      </w:r>
    </w:p>
    <w:p w14:paraId="7142DFFC">
      <w:pPr>
        <w:rPr>
          <w:rFonts w:ascii="宋体" w:hAnsi="宋体"/>
          <w:snapToGrid w:val="0"/>
          <w:kern w:val="0"/>
          <w:szCs w:val="21"/>
        </w:rPr>
      </w:pPr>
      <w:r>
        <w:rPr>
          <w:rFonts w:ascii="宋体" w:hAnsi="宋体"/>
          <w:snapToGrid w:val="0"/>
          <w:kern w:val="0"/>
          <w:szCs w:val="21"/>
        </w:rPr>
        <w:t>符合下列条件之一的中药品种，可以申请二级保护：</w:t>
      </w:r>
    </w:p>
    <w:p w14:paraId="117E9490">
      <w:pPr>
        <w:rPr>
          <w:rFonts w:ascii="宋体" w:hAnsi="宋体"/>
          <w:snapToGrid w:val="0"/>
          <w:kern w:val="0"/>
          <w:szCs w:val="21"/>
        </w:rPr>
      </w:pPr>
      <w:r>
        <w:rPr>
          <w:rFonts w:ascii="宋体" w:hAnsi="宋体"/>
          <w:snapToGrid w:val="0"/>
          <w:kern w:val="0"/>
          <w:szCs w:val="21"/>
        </w:rPr>
        <w:t xml:space="preserve">    ①符合上述一级保护的品种或已经解除一级保护的品种</w:t>
      </w:r>
    </w:p>
    <w:p w14:paraId="49906A27">
      <w:pPr>
        <w:rPr>
          <w:rFonts w:ascii="宋体" w:hAnsi="宋体"/>
          <w:snapToGrid w:val="0"/>
          <w:kern w:val="0"/>
          <w:szCs w:val="21"/>
        </w:rPr>
      </w:pPr>
      <w:r>
        <w:rPr>
          <w:rFonts w:ascii="宋体" w:hAnsi="宋体"/>
          <w:snapToGrid w:val="0"/>
          <w:kern w:val="0"/>
          <w:szCs w:val="21"/>
        </w:rPr>
        <w:t xml:space="preserve">    ②对特定疾病有显著疗效的</w:t>
      </w:r>
    </w:p>
    <w:p w14:paraId="56BD265D">
      <w:pPr>
        <w:rPr>
          <w:rFonts w:ascii="宋体" w:hAnsi="宋体"/>
          <w:snapToGrid w:val="0"/>
          <w:kern w:val="0"/>
          <w:szCs w:val="21"/>
        </w:rPr>
      </w:pPr>
      <w:r>
        <w:rPr>
          <w:rFonts w:ascii="宋体" w:hAnsi="宋体"/>
          <w:snapToGrid w:val="0"/>
          <w:kern w:val="0"/>
          <w:szCs w:val="21"/>
        </w:rPr>
        <w:t xml:space="preserve">    ③从天然药物中提取的有效物质及特殊制剂</w:t>
      </w:r>
    </w:p>
    <w:p w14:paraId="3B6ED30B">
      <w:pPr>
        <w:rPr>
          <w:rFonts w:ascii="宋体" w:hAnsi="宋体"/>
          <w:snapToGrid w:val="0"/>
          <w:kern w:val="0"/>
          <w:szCs w:val="21"/>
        </w:rPr>
      </w:pPr>
      <w:r>
        <w:rPr>
          <w:rFonts w:ascii="宋体" w:hAnsi="宋体"/>
          <w:snapToGrid w:val="0"/>
          <w:kern w:val="0"/>
          <w:szCs w:val="21"/>
        </w:rPr>
        <w:t>3、阅读案例并回答问题：某药厂生产的注射用甲氨蝶呤，在使用后出现神经损害的群体性药品不良事件报告。国家药监局暂停生产、销售和使用该药品，并进行深入调查。发现该药厂违规生产，几种药品挤在同一条生产线上生产，仪器设备共用，中间清场疏漏，涉及的注射用甲氨蝶呤及盐酸阿糖胞苷等部分批号产品中混入了微量硫酸长春新碱，导致药品所含成分与国家药品标准不符合。</w:t>
      </w:r>
    </w:p>
    <w:p w14:paraId="5F3FA312">
      <w:pPr>
        <w:rPr>
          <w:rFonts w:ascii="宋体" w:hAnsi="宋体"/>
          <w:snapToGrid w:val="0"/>
          <w:kern w:val="0"/>
          <w:szCs w:val="21"/>
        </w:rPr>
      </w:pPr>
      <w:r>
        <w:rPr>
          <w:rFonts w:ascii="宋体" w:hAnsi="宋体"/>
          <w:snapToGrid w:val="0"/>
          <w:kern w:val="0"/>
          <w:szCs w:val="21"/>
        </w:rPr>
        <w:t>（1） 根据2019版《药品管理法》的规定，什么是假药？该注射用甲氨蝶呤属于假药还是劣药？</w:t>
      </w:r>
    </w:p>
    <w:p w14:paraId="5A627D74">
      <w:pPr>
        <w:rPr>
          <w:rFonts w:ascii="宋体" w:hAnsi="宋体"/>
          <w:snapToGrid w:val="0"/>
          <w:kern w:val="0"/>
          <w:szCs w:val="21"/>
        </w:rPr>
      </w:pPr>
      <w:r>
        <w:rPr>
          <w:rFonts w:ascii="宋体" w:hAnsi="宋体"/>
          <w:snapToGrid w:val="0"/>
          <w:kern w:val="0"/>
          <w:szCs w:val="21"/>
        </w:rPr>
        <w:t>答：有下列情形之一，为假药。</w:t>
      </w:r>
    </w:p>
    <w:p w14:paraId="1B9CC4F7">
      <w:pPr>
        <w:ind w:firstLine="420"/>
        <w:rPr>
          <w:rFonts w:ascii="宋体" w:hAnsi="宋体"/>
          <w:snapToGrid w:val="0"/>
          <w:kern w:val="0"/>
          <w:szCs w:val="21"/>
        </w:rPr>
      </w:pPr>
      <w:r>
        <w:rPr>
          <w:rFonts w:ascii="宋体" w:hAnsi="宋体"/>
          <w:snapToGrid w:val="0"/>
          <w:kern w:val="0"/>
          <w:szCs w:val="21"/>
        </w:rPr>
        <w:t>①药品所含成分与国家药品标准规定的成分不符的</w:t>
      </w:r>
    </w:p>
    <w:p w14:paraId="31564C73">
      <w:pPr>
        <w:ind w:firstLine="420"/>
        <w:rPr>
          <w:rFonts w:ascii="宋体" w:hAnsi="宋体"/>
          <w:snapToGrid w:val="0"/>
          <w:kern w:val="0"/>
          <w:szCs w:val="21"/>
        </w:rPr>
      </w:pPr>
      <w:r>
        <w:rPr>
          <w:rFonts w:ascii="宋体" w:hAnsi="宋体"/>
          <w:snapToGrid w:val="0"/>
          <w:kern w:val="0"/>
          <w:szCs w:val="21"/>
        </w:rPr>
        <w:t>②以非药品冒充药品或者以他种药品冒充此种药品的。</w:t>
      </w:r>
    </w:p>
    <w:p w14:paraId="6F43CC48">
      <w:pPr>
        <w:ind w:firstLine="420"/>
        <w:rPr>
          <w:rFonts w:ascii="宋体" w:hAnsi="宋体"/>
          <w:snapToGrid w:val="0"/>
          <w:kern w:val="0"/>
          <w:szCs w:val="21"/>
        </w:rPr>
      </w:pPr>
      <w:r>
        <w:rPr>
          <w:rFonts w:ascii="宋体" w:hAnsi="宋体"/>
          <w:snapToGrid w:val="0"/>
          <w:kern w:val="0"/>
          <w:szCs w:val="21"/>
        </w:rPr>
        <w:t>③变质的药品。</w:t>
      </w:r>
    </w:p>
    <w:p w14:paraId="7CE2F762">
      <w:pPr>
        <w:ind w:firstLine="420"/>
        <w:rPr>
          <w:rFonts w:ascii="宋体" w:hAnsi="宋体"/>
          <w:snapToGrid w:val="0"/>
          <w:kern w:val="0"/>
          <w:szCs w:val="21"/>
        </w:rPr>
      </w:pPr>
      <w:r>
        <w:rPr>
          <w:rFonts w:ascii="宋体" w:hAnsi="宋体"/>
          <w:snapToGrid w:val="0"/>
          <w:kern w:val="0"/>
          <w:szCs w:val="21"/>
        </w:rPr>
        <w:t>④药品所标明的适应症或者功能主治超出规定范围的。</w:t>
      </w:r>
    </w:p>
    <w:p w14:paraId="6CA1287E">
      <w:pPr>
        <w:ind w:firstLine="420"/>
        <w:rPr>
          <w:rFonts w:ascii="宋体" w:hAnsi="宋体"/>
          <w:snapToGrid w:val="0"/>
          <w:kern w:val="0"/>
          <w:szCs w:val="21"/>
        </w:rPr>
      </w:pPr>
    </w:p>
    <w:p w14:paraId="2E12E3CA">
      <w:pPr>
        <w:ind w:firstLine="420"/>
        <w:rPr>
          <w:rFonts w:ascii="宋体" w:hAnsi="宋体"/>
          <w:snapToGrid w:val="0"/>
          <w:kern w:val="0"/>
          <w:szCs w:val="21"/>
        </w:rPr>
      </w:pPr>
      <w:r>
        <w:rPr>
          <w:rFonts w:ascii="宋体" w:hAnsi="宋体"/>
          <w:snapToGrid w:val="0"/>
          <w:kern w:val="0"/>
          <w:szCs w:val="21"/>
        </w:rPr>
        <w:t>该药品成分含有硫酸长春新碱，与国家规定的药品标准不符，属于假药。</w:t>
      </w:r>
    </w:p>
    <w:p w14:paraId="5D804712">
      <w:pPr>
        <w:rPr>
          <w:rFonts w:ascii="宋体" w:hAnsi="宋体"/>
          <w:snapToGrid w:val="0"/>
          <w:kern w:val="0"/>
          <w:szCs w:val="21"/>
        </w:rPr>
      </w:pPr>
      <w:r>
        <w:rPr>
          <w:rFonts w:ascii="宋体" w:hAnsi="宋体"/>
          <w:snapToGrid w:val="0"/>
          <w:kern w:val="0"/>
          <w:szCs w:val="21"/>
        </w:rPr>
        <w:t>（2）你对该药害事件有什么体会？</w:t>
      </w:r>
      <w:bookmarkStart w:id="0" w:name="_GoBack"/>
      <w:bookmarkEnd w:id="0"/>
    </w:p>
    <w:p w14:paraId="3F5D291C">
      <w:pPr>
        <w:rPr>
          <w:rFonts w:hint="default"/>
          <w:lang w:val="en-US" w:eastAsia="zh-CN"/>
        </w:rPr>
      </w:pPr>
      <w:r>
        <w:rPr>
          <w:rFonts w:ascii="宋体" w:hAnsi="宋体"/>
          <w:snapToGrid w:val="0"/>
          <w:kern w:val="0"/>
          <w:szCs w:val="21"/>
        </w:rPr>
        <w:t>答：本题为开放式问题，无固定标准答案。酌情给分。阅卷评分时，注意价值观、职业道德的正确性。</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8E34F7"/>
    <w:multiLevelType w:val="singleLevel"/>
    <w:tmpl w:val="A98E34F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021827"/>
    <w:rsid w:val="1D021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tabs>
        <w:tab w:val="center" w:pos="4153"/>
        <w:tab w:val="right" w:pos="8306"/>
      </w:tabs>
      <w:snapToGrid w:val="0"/>
      <w:jc w:val="center"/>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2025-12-19T02:28:00Z</dcterms:created>
  <dc:creator>黄岩育华李才聪</dc:creator>
  <cp:lastModifiedBy>黄岩育华李才聪</cp:lastModifiedBy>
  <dcterms:modified xsi:type="dcterms:W3CDTF">2025-12-19T02:51:02Z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7583C8571A4546F69FABDDECADABE3CE_11</vt:lpwstr>
  </property>
  <property fmtid="{D5CDD505-2E9C-101B-9397-08002B2CF9AE}" pid="4" name="KSOTemplateDocerSaveRecord">
    <vt:lpwstr>eyJoZGlkIjoiZmQ4ZTQyZDdmOTI0NjQ5MTBlMjM4MTBkY2Y5N2MwMzYiLCJ1c2VySWQiOiI0NTY2Nzc2NjkifQ==</vt:lpwstr>
  </property>
</Properties>
</file>