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25582">
      <w:pPr>
        <w:rPr>
          <w:rFonts w:hint="eastAsia"/>
          <w:lang w:val="en-US" w:eastAsia="zh-CN"/>
        </w:rPr>
      </w:pPr>
      <w:r>
        <w:rPr>
          <w:rFonts w:hint="eastAsia"/>
          <w:lang w:val="en-US" w:eastAsia="zh-CN"/>
        </w:rPr>
        <w:t>行政法与行政诉讼法复习资料</w:t>
      </w:r>
    </w:p>
    <w:p w14:paraId="296D0AC5">
      <w:pPr>
        <w:numPr>
          <w:ilvl w:val="0"/>
          <w:numId w:val="1"/>
        </w:numPr>
        <w:spacing w:line="360" w:lineRule="auto"/>
        <w:rPr>
          <w:rFonts w:hint="eastAsia" w:ascii="宋体" w:hAnsi="宋体"/>
          <w:b/>
          <w:color w:val="000000"/>
          <w:sz w:val="21"/>
          <w:szCs w:val="21"/>
        </w:rPr>
      </w:pPr>
      <w:r>
        <w:rPr>
          <w:rFonts w:hint="eastAsia" w:ascii="宋体" w:hAnsi="宋体"/>
          <w:b/>
          <w:color w:val="000000"/>
          <w:sz w:val="21"/>
          <w:szCs w:val="21"/>
        </w:rPr>
        <w:t>简答题</w:t>
      </w:r>
    </w:p>
    <w:p w14:paraId="30A7E1DC">
      <w:pPr>
        <w:numPr>
          <w:numId w:val="0"/>
        </w:numPr>
        <w:spacing w:line="360" w:lineRule="auto"/>
        <w:rPr>
          <w:rFonts w:hint="eastAsia" w:ascii="宋体" w:hAnsi="宋体"/>
          <w:color w:val="000000"/>
          <w:sz w:val="21"/>
          <w:szCs w:val="21"/>
        </w:rPr>
      </w:pPr>
      <w:r>
        <w:rPr>
          <w:rFonts w:hint="eastAsia" w:ascii="宋体" w:hAnsi="宋体"/>
          <w:color w:val="000000"/>
          <w:sz w:val="21"/>
          <w:szCs w:val="21"/>
        </w:rPr>
        <w:t>1.简述行政许可法的原则。</w:t>
      </w:r>
    </w:p>
    <w:p w14:paraId="45797DF7">
      <w:pPr>
        <w:spacing w:line="360" w:lineRule="auto"/>
        <w:rPr>
          <w:rFonts w:hint="eastAsia" w:ascii="宋体" w:hAnsi="宋体"/>
          <w:color w:val="000000"/>
          <w:sz w:val="21"/>
          <w:szCs w:val="21"/>
        </w:rPr>
      </w:pPr>
    </w:p>
    <w:p w14:paraId="7F9CA180">
      <w:pPr>
        <w:numPr>
          <w:ilvl w:val="0"/>
          <w:numId w:val="2"/>
        </w:numPr>
        <w:spacing w:line="360" w:lineRule="auto"/>
        <w:rPr>
          <w:rFonts w:hint="eastAsia" w:ascii="宋体" w:hAnsi="宋体"/>
          <w:color w:val="000000"/>
          <w:sz w:val="21"/>
          <w:szCs w:val="21"/>
        </w:rPr>
      </w:pPr>
      <w:r>
        <w:rPr>
          <w:rFonts w:hint="eastAsia" w:ascii="宋体" w:hAnsi="宋体"/>
          <w:color w:val="000000"/>
          <w:sz w:val="21"/>
          <w:szCs w:val="21"/>
        </w:rPr>
        <w:t>简述行政处罚听证适用的条件。</w:t>
      </w:r>
    </w:p>
    <w:p w14:paraId="5EBC9BA5">
      <w:pPr>
        <w:widowControl w:val="0"/>
        <w:numPr>
          <w:ilvl w:val="0"/>
          <w:numId w:val="0"/>
        </w:numPr>
        <w:spacing w:line="360" w:lineRule="auto"/>
        <w:jc w:val="both"/>
        <w:rPr>
          <w:rFonts w:hint="eastAsia" w:ascii="宋体" w:hAnsi="宋体"/>
          <w:color w:val="000000"/>
          <w:sz w:val="21"/>
          <w:szCs w:val="21"/>
        </w:rPr>
      </w:pPr>
    </w:p>
    <w:p w14:paraId="395EF1E8">
      <w:pPr>
        <w:numPr>
          <w:ilvl w:val="0"/>
          <w:numId w:val="2"/>
        </w:numPr>
        <w:spacing w:line="360" w:lineRule="auto"/>
        <w:ind w:left="0" w:leftChars="0" w:firstLine="0" w:firstLineChars="0"/>
        <w:rPr>
          <w:rFonts w:hint="eastAsia" w:ascii="宋体" w:hAnsi="宋体"/>
          <w:color w:val="000000"/>
          <w:sz w:val="21"/>
          <w:szCs w:val="21"/>
        </w:rPr>
      </w:pPr>
      <w:r>
        <w:rPr>
          <w:rFonts w:hint="eastAsia" w:ascii="宋体" w:hAnsi="宋体"/>
          <w:color w:val="000000"/>
          <w:sz w:val="21"/>
          <w:szCs w:val="21"/>
        </w:rPr>
        <w:t>简述行政征收的概念与特征。</w:t>
      </w:r>
    </w:p>
    <w:p w14:paraId="16A52B81">
      <w:pPr>
        <w:numPr>
          <w:ilvl w:val="0"/>
          <w:numId w:val="1"/>
        </w:numPr>
        <w:spacing w:line="360" w:lineRule="auto"/>
        <w:ind w:left="0" w:leftChars="0" w:firstLine="0" w:firstLineChars="0"/>
        <w:rPr>
          <w:rFonts w:hint="eastAsia" w:ascii="宋体" w:hAnsi="宋体"/>
          <w:b/>
          <w:color w:val="000000"/>
          <w:sz w:val="21"/>
          <w:szCs w:val="21"/>
        </w:rPr>
      </w:pPr>
      <w:r>
        <w:rPr>
          <w:rFonts w:hint="eastAsia" w:ascii="宋体" w:hAnsi="宋体"/>
          <w:b/>
          <w:color w:val="000000"/>
          <w:sz w:val="21"/>
          <w:szCs w:val="21"/>
        </w:rPr>
        <w:t>论述题</w:t>
      </w:r>
    </w:p>
    <w:p w14:paraId="2D695D4E">
      <w:pPr>
        <w:numPr>
          <w:numId w:val="0"/>
        </w:numPr>
        <w:spacing w:line="360" w:lineRule="auto"/>
        <w:ind w:leftChars="0"/>
        <w:rPr>
          <w:rFonts w:hint="eastAsia" w:ascii="宋体" w:hAnsi="宋体"/>
          <w:color w:val="000000"/>
          <w:sz w:val="21"/>
          <w:szCs w:val="21"/>
        </w:rPr>
      </w:pPr>
      <w:r>
        <w:rPr>
          <w:rFonts w:hint="eastAsia" w:ascii="宋体" w:hAnsi="宋体"/>
          <w:color w:val="000000"/>
          <w:sz w:val="21"/>
          <w:szCs w:val="21"/>
        </w:rPr>
        <w:t>1.论行政行为的合法要件。</w:t>
      </w:r>
    </w:p>
    <w:p w14:paraId="4CAE3AEE">
      <w:pPr>
        <w:spacing w:line="360" w:lineRule="auto"/>
        <w:rPr>
          <w:rFonts w:hint="eastAsia" w:ascii="宋体" w:hAnsi="宋体"/>
          <w:color w:val="000000"/>
          <w:sz w:val="21"/>
          <w:szCs w:val="21"/>
        </w:rPr>
      </w:pPr>
    </w:p>
    <w:p w14:paraId="36C67453">
      <w:pPr>
        <w:numPr>
          <w:ilvl w:val="0"/>
          <w:numId w:val="3"/>
        </w:numPr>
        <w:spacing w:line="360" w:lineRule="auto"/>
        <w:rPr>
          <w:rFonts w:hint="eastAsia" w:ascii="宋体" w:hAnsi="宋体"/>
          <w:color w:val="000000"/>
          <w:sz w:val="21"/>
          <w:szCs w:val="21"/>
        </w:rPr>
      </w:pPr>
      <w:r>
        <w:rPr>
          <w:rFonts w:hint="eastAsia" w:ascii="宋体" w:hAnsi="宋体"/>
          <w:color w:val="000000"/>
          <w:sz w:val="21"/>
          <w:szCs w:val="21"/>
        </w:rPr>
        <w:t>论行政法的特征。</w:t>
      </w:r>
    </w:p>
    <w:p w14:paraId="2D8F7BCB">
      <w:pPr>
        <w:widowControl w:val="0"/>
        <w:numPr>
          <w:ilvl w:val="0"/>
          <w:numId w:val="0"/>
        </w:numPr>
        <w:spacing w:line="360" w:lineRule="auto"/>
        <w:jc w:val="both"/>
        <w:rPr>
          <w:rFonts w:hint="eastAsia" w:ascii="宋体" w:hAnsi="宋体"/>
          <w:color w:val="000000"/>
          <w:sz w:val="21"/>
          <w:szCs w:val="21"/>
        </w:rPr>
      </w:pPr>
    </w:p>
    <w:p w14:paraId="2175D5EA">
      <w:pPr>
        <w:spacing w:line="360" w:lineRule="auto"/>
        <w:rPr>
          <w:rFonts w:ascii="宋体" w:hAnsi="宋体"/>
          <w:b/>
          <w:color w:val="000000"/>
          <w:sz w:val="21"/>
          <w:szCs w:val="21"/>
        </w:rPr>
      </w:pPr>
      <w:r>
        <w:rPr>
          <w:rFonts w:hint="eastAsia" w:ascii="宋体" w:hAnsi="宋体"/>
          <w:b/>
          <w:color w:val="000000"/>
          <w:sz w:val="21"/>
          <w:szCs w:val="21"/>
        </w:rPr>
        <w:t>三、案例分析题</w:t>
      </w:r>
    </w:p>
    <w:p w14:paraId="6E4DE289">
      <w:pPr>
        <w:spacing w:line="360" w:lineRule="auto"/>
        <w:ind w:firstLine="308" w:firstLineChars="147"/>
        <w:rPr>
          <w:rFonts w:ascii="宋体" w:hAnsi="宋体" w:cs="Arial"/>
          <w:color w:val="000000"/>
          <w:sz w:val="21"/>
          <w:szCs w:val="21"/>
        </w:rPr>
      </w:pPr>
      <w:r>
        <w:rPr>
          <w:rFonts w:ascii="宋体" w:hAnsi="宋体"/>
          <w:bCs/>
          <w:sz w:val="21"/>
          <w:szCs w:val="21"/>
        </w:rPr>
        <w:t>20</w:t>
      </w:r>
      <w:r>
        <w:rPr>
          <w:rFonts w:hint="eastAsia" w:ascii="宋体" w:hAnsi="宋体"/>
          <w:bCs/>
          <w:sz w:val="21"/>
          <w:szCs w:val="21"/>
        </w:rPr>
        <w:t>20年</w:t>
      </w:r>
      <w:r>
        <w:rPr>
          <w:rFonts w:ascii="宋体" w:hAnsi="宋体"/>
          <w:bCs/>
          <w:sz w:val="21"/>
          <w:szCs w:val="21"/>
        </w:rPr>
        <w:t>2</w:t>
      </w:r>
      <w:r>
        <w:rPr>
          <w:rFonts w:hint="eastAsia" w:ascii="宋体" w:hAnsi="宋体"/>
          <w:bCs/>
          <w:sz w:val="21"/>
          <w:szCs w:val="21"/>
        </w:rPr>
        <w:t>月</w:t>
      </w:r>
      <w:r>
        <w:rPr>
          <w:rFonts w:ascii="宋体" w:hAnsi="宋体"/>
          <w:bCs/>
          <w:sz w:val="21"/>
          <w:szCs w:val="21"/>
        </w:rPr>
        <w:t>27</w:t>
      </w:r>
      <w:r>
        <w:rPr>
          <w:rFonts w:hint="eastAsia" w:ascii="宋体" w:hAnsi="宋体"/>
          <w:bCs/>
          <w:sz w:val="21"/>
          <w:szCs w:val="21"/>
        </w:rPr>
        <w:t>日，龙南县自然规划部门认定廖明耀的房屋为违章建筑，并下达限期自行拆除违建房屋的通知。</w:t>
      </w:r>
      <w:r>
        <w:rPr>
          <w:rFonts w:hint="eastAsia" w:ascii="宋体" w:hAnsi="宋体"/>
          <w:bCs/>
          <w:color w:val="000000"/>
          <w:sz w:val="21"/>
          <w:szCs w:val="21"/>
        </w:rPr>
        <w:t>为加快拆迁进度，龙南县人民政府指令电力企业对当事人采取断电行为。</w:t>
      </w:r>
      <w:r>
        <w:rPr>
          <w:rFonts w:hint="eastAsia" w:ascii="宋体" w:hAnsi="宋体"/>
          <w:bCs/>
          <w:sz w:val="21"/>
          <w:szCs w:val="21"/>
        </w:rPr>
        <w:t>2020年4月，龙南县人民政府在未按照《行政强制法》相关规定的情况下，组织相关部门对廖明耀的违建房屋实施强制拆除。龙南</w:t>
      </w:r>
      <w:r>
        <w:rPr>
          <w:rFonts w:hint="eastAsia" w:ascii="宋体" w:hAnsi="宋体" w:cs="Arial"/>
          <w:color w:val="000000"/>
          <w:kern w:val="0"/>
          <w:sz w:val="21"/>
          <w:szCs w:val="21"/>
        </w:rPr>
        <w:t>县人民政府及其相关部门在强制拆除过程中，对房屋内的财物没有采取</w:t>
      </w:r>
      <w:r>
        <w:rPr>
          <w:rFonts w:hint="eastAsia" w:ascii="宋体" w:hAnsi="宋体" w:cs="Arial"/>
          <w:bCs/>
          <w:color w:val="000000"/>
          <w:sz w:val="21"/>
          <w:szCs w:val="21"/>
        </w:rPr>
        <w:t>登记造册、公证等措施，造成了财产损失，</w:t>
      </w:r>
      <w:r>
        <w:rPr>
          <w:rFonts w:hint="eastAsia" w:ascii="宋体" w:hAnsi="宋体"/>
          <w:bCs/>
          <w:sz w:val="21"/>
          <w:szCs w:val="21"/>
        </w:rPr>
        <w:t>廖明耀</w:t>
      </w:r>
      <w:r>
        <w:rPr>
          <w:rFonts w:hint="eastAsia" w:ascii="宋体" w:hAnsi="宋体" w:cs="Arial"/>
          <w:bCs/>
          <w:color w:val="000000"/>
          <w:sz w:val="21"/>
          <w:szCs w:val="21"/>
        </w:rPr>
        <w:t>据此提起了行政赔偿诉讼。</w:t>
      </w:r>
    </w:p>
    <w:p w14:paraId="7D1E049A">
      <w:pPr>
        <w:spacing w:line="360" w:lineRule="auto"/>
        <w:ind w:firstLine="525" w:firstLineChars="250"/>
        <w:rPr>
          <w:rFonts w:ascii="宋体" w:hAnsi="宋体"/>
          <w:sz w:val="21"/>
          <w:szCs w:val="21"/>
        </w:rPr>
      </w:pPr>
      <w:r>
        <w:rPr>
          <w:rFonts w:hint="eastAsia" w:ascii="宋体" w:hAnsi="宋体"/>
          <w:sz w:val="21"/>
          <w:szCs w:val="21"/>
        </w:rPr>
        <w:t>问：1. 龙南县人民政府有没有强制拆除违章建筑的权力？试说明理由。</w:t>
      </w:r>
    </w:p>
    <w:p w14:paraId="3EE09EC9">
      <w:pPr>
        <w:spacing w:line="360" w:lineRule="auto"/>
        <w:ind w:left="584" w:leftChars="278" w:firstLine="315" w:firstLineChars="150"/>
        <w:rPr>
          <w:rFonts w:hint="eastAsia" w:ascii="宋体" w:hAnsi="宋体"/>
          <w:sz w:val="21"/>
          <w:szCs w:val="21"/>
        </w:rPr>
      </w:pPr>
      <w:r>
        <w:rPr>
          <w:rFonts w:hint="eastAsia" w:ascii="宋体" w:hAnsi="宋体"/>
          <w:sz w:val="21"/>
          <w:szCs w:val="21"/>
        </w:rPr>
        <w:t>2. 在拆除过程中，电力企业断电行为如何救济？</w:t>
      </w:r>
    </w:p>
    <w:p w14:paraId="3C71E4D2">
      <w:pPr>
        <w:spacing w:line="360" w:lineRule="auto"/>
        <w:ind w:left="584" w:leftChars="278" w:firstLine="315" w:firstLineChars="150"/>
        <w:rPr>
          <w:rFonts w:hint="eastAsia" w:ascii="宋体" w:hAnsi="宋体"/>
          <w:sz w:val="21"/>
          <w:szCs w:val="21"/>
        </w:rPr>
      </w:pPr>
    </w:p>
    <w:p w14:paraId="55BB8B2B">
      <w:pPr>
        <w:spacing w:line="360" w:lineRule="auto"/>
        <w:rPr>
          <w:rFonts w:hint="eastAsia" w:ascii="宋体" w:hAnsi="宋体"/>
          <w:sz w:val="21"/>
          <w:szCs w:val="21"/>
          <w:lang w:val="en-US" w:eastAsia="zh-CN"/>
        </w:rPr>
      </w:pPr>
      <w:r>
        <w:rPr>
          <w:rFonts w:hint="eastAsia" w:ascii="宋体" w:hAnsi="宋体"/>
          <w:sz w:val="21"/>
          <w:szCs w:val="21"/>
          <w:lang w:val="en-US" w:eastAsia="zh-CN"/>
        </w:rPr>
        <w:t>答案</w:t>
      </w:r>
    </w:p>
    <w:p w14:paraId="1E58A117">
      <w:pPr>
        <w:spacing w:line="360" w:lineRule="auto"/>
        <w:rPr>
          <w:rFonts w:hint="eastAsia" w:ascii="宋体" w:hAnsi="宋体"/>
          <w:b/>
          <w:szCs w:val="21"/>
        </w:rPr>
      </w:pPr>
      <w:r>
        <w:rPr>
          <w:rFonts w:hint="eastAsia" w:ascii="宋体" w:hAnsi="宋体"/>
          <w:b/>
          <w:szCs w:val="21"/>
        </w:rPr>
        <w:t>一、简答题</w:t>
      </w:r>
    </w:p>
    <w:p w14:paraId="219E9B6D">
      <w:pPr>
        <w:spacing w:line="360" w:lineRule="auto"/>
        <w:rPr>
          <w:rFonts w:ascii="宋体" w:hAnsi="宋体"/>
          <w:bCs/>
          <w:szCs w:val="21"/>
        </w:rPr>
      </w:pPr>
      <w:r>
        <w:rPr>
          <w:rFonts w:hint="eastAsia" w:ascii="宋体" w:hAnsi="宋体"/>
          <w:bCs/>
          <w:szCs w:val="21"/>
        </w:rPr>
        <w:t xml:space="preserve">1. </w:t>
      </w:r>
      <w:r>
        <w:rPr>
          <w:rFonts w:hint="eastAsia" w:ascii="宋体" w:hAnsi="宋体"/>
          <w:szCs w:val="21"/>
        </w:rPr>
        <w:t>行政许可</w:t>
      </w:r>
      <w:r>
        <w:rPr>
          <w:rFonts w:hint="eastAsia" w:ascii="宋体" w:hAnsi="宋体"/>
          <w:bCs/>
          <w:szCs w:val="21"/>
        </w:rPr>
        <w:t>指特定的行政主体，根据行政相对人的申请，经依法审查，作出准予或不准予其从事特定活动之决定的行政行为。行政许可法的原则包括：（1）合法原则。（2）公开、公平、公正原则。（3）便民原则。（4）救济原则。（5）信赖保护原则。（6）监督原则。</w:t>
      </w:r>
    </w:p>
    <w:p w14:paraId="457802C1">
      <w:pPr>
        <w:spacing w:line="360" w:lineRule="auto"/>
        <w:rPr>
          <w:rFonts w:ascii="宋体" w:hAnsi="宋体"/>
          <w:bCs/>
          <w:szCs w:val="21"/>
        </w:rPr>
      </w:pPr>
      <w:r>
        <w:rPr>
          <w:rFonts w:hint="eastAsia" w:ascii="宋体" w:hAnsi="宋体"/>
          <w:bCs/>
          <w:szCs w:val="21"/>
        </w:rPr>
        <w:t>2.行政处罚听证的适用条件包括：第一，实体条件。根据《行政处罚法》的规定，听证只适用处罚较重的行政处罚案件，即较大数额罚款；没收较大数额违法所得、没收较大价值非法财物；降低资质等级、吊销许可证件;责令停产停业、责令关闭、限制从业；其他较重的行政处罚；法律、法规、规章规定的其他情形。第二，程序条件。行政处罚主体在作出行政处罚决定之前，应当告知当事人有要求听证的权利。当事人要求听证的，行政机关应当组织听证。</w:t>
      </w:r>
    </w:p>
    <w:p w14:paraId="01585BAF">
      <w:pPr>
        <w:spacing w:line="360" w:lineRule="auto"/>
        <w:rPr>
          <w:rFonts w:hint="eastAsia" w:ascii="宋体" w:hAnsi="宋体"/>
          <w:bCs/>
          <w:szCs w:val="21"/>
        </w:rPr>
      </w:pPr>
      <w:r>
        <w:rPr>
          <w:rFonts w:hint="eastAsia" w:ascii="宋体" w:hAnsi="宋体"/>
          <w:bCs/>
          <w:szCs w:val="21"/>
        </w:rPr>
        <w:t>3. 行政征收是行政决定的形态之一，也是一种独立的行政行为。是指行政主体依法向行政相对人强制性地收取税费或私有财产的行政行为。其具有</w:t>
      </w:r>
      <w:r>
        <w:rPr>
          <w:rFonts w:ascii="宋体" w:hAnsi="宋体"/>
          <w:bCs/>
          <w:szCs w:val="21"/>
        </w:rPr>
        <w:t>处分性</w:t>
      </w:r>
      <w:r>
        <w:rPr>
          <w:rFonts w:hint="eastAsia" w:ascii="宋体" w:hAnsi="宋体"/>
          <w:bCs/>
          <w:szCs w:val="21"/>
        </w:rPr>
        <w:t>、</w:t>
      </w:r>
      <w:r>
        <w:rPr>
          <w:rFonts w:ascii="宋体" w:hAnsi="宋体"/>
          <w:bCs/>
          <w:szCs w:val="21"/>
        </w:rPr>
        <w:t>强制性</w:t>
      </w:r>
      <w:r>
        <w:rPr>
          <w:rFonts w:hint="eastAsia" w:ascii="宋体" w:hAnsi="宋体"/>
          <w:bCs/>
          <w:szCs w:val="21"/>
        </w:rPr>
        <w:t>、</w:t>
      </w:r>
      <w:r>
        <w:rPr>
          <w:rFonts w:ascii="宋体" w:hAnsi="宋体"/>
          <w:bCs/>
          <w:szCs w:val="21"/>
        </w:rPr>
        <w:t>非对价性</w:t>
      </w:r>
      <w:r>
        <w:rPr>
          <w:rFonts w:hint="eastAsia" w:ascii="宋体" w:hAnsi="宋体"/>
          <w:bCs/>
          <w:szCs w:val="21"/>
        </w:rPr>
        <w:t>、</w:t>
      </w:r>
      <w:r>
        <w:rPr>
          <w:rFonts w:ascii="宋体" w:hAnsi="宋体"/>
          <w:bCs/>
          <w:szCs w:val="21"/>
        </w:rPr>
        <w:t>法定性</w:t>
      </w:r>
      <w:r>
        <w:rPr>
          <w:rFonts w:hint="eastAsia" w:ascii="宋体" w:hAnsi="宋体"/>
          <w:bCs/>
          <w:szCs w:val="21"/>
        </w:rPr>
        <w:t>等法律特征</w:t>
      </w:r>
      <w:r>
        <w:rPr>
          <w:rFonts w:ascii="宋体" w:hAnsi="宋体"/>
          <w:bCs/>
          <w:szCs w:val="21"/>
        </w:rPr>
        <w:t>。</w:t>
      </w:r>
    </w:p>
    <w:p w14:paraId="683F3CC0">
      <w:pPr>
        <w:spacing w:line="360" w:lineRule="auto"/>
        <w:rPr>
          <w:rFonts w:hint="eastAsia" w:ascii="宋体" w:hAnsi="宋体"/>
          <w:b/>
          <w:szCs w:val="21"/>
        </w:rPr>
      </w:pPr>
      <w:r>
        <w:rPr>
          <w:rFonts w:hint="eastAsia" w:ascii="宋体" w:hAnsi="宋体"/>
          <w:b/>
          <w:szCs w:val="21"/>
        </w:rPr>
        <w:t>二、论述题</w:t>
      </w:r>
    </w:p>
    <w:p w14:paraId="47B4E51E">
      <w:pPr>
        <w:pStyle w:val="4"/>
        <w:spacing w:line="360" w:lineRule="auto"/>
        <w:ind w:firstLine="0" w:firstLineChars="0"/>
        <w:rPr>
          <w:rFonts w:ascii="宋体" w:hAnsi="宋体"/>
          <w:szCs w:val="21"/>
        </w:rPr>
      </w:pPr>
      <w:r>
        <w:rPr>
          <w:rFonts w:hint="eastAsia" w:ascii="宋体" w:hAnsi="宋体"/>
          <w:szCs w:val="21"/>
        </w:rPr>
        <w:t>1.</w:t>
      </w:r>
      <w:r>
        <w:rPr>
          <w:rFonts w:hint="eastAsia" w:ascii="宋体" w:hAnsi="宋体"/>
          <w:bCs/>
          <w:szCs w:val="21"/>
        </w:rPr>
        <w:t>行政行为是指行政主体及其工作人员或者行政主体委托的组织或个人实施的产生行政法律效果的行为。行政行为的合法要件包括：（1）行政行为主体合法；（2）行政行为权限合法；（3）行政行为内容合法；（4）行政行为程序合法。</w:t>
      </w:r>
    </w:p>
    <w:p w14:paraId="7FE86588">
      <w:pPr>
        <w:spacing w:line="360" w:lineRule="auto"/>
        <w:rPr>
          <w:rFonts w:ascii="宋体" w:hAnsi="宋体"/>
          <w:bCs/>
          <w:szCs w:val="21"/>
        </w:rPr>
      </w:pPr>
      <w:r>
        <w:rPr>
          <w:rFonts w:hint="eastAsia" w:ascii="宋体" w:hAnsi="宋体"/>
          <w:szCs w:val="21"/>
        </w:rPr>
        <w:t>2.</w:t>
      </w:r>
      <w:r>
        <w:rPr>
          <w:rFonts w:hint="eastAsia" w:ascii="宋体" w:hAnsi="宋体"/>
          <w:bCs/>
          <w:szCs w:val="21"/>
        </w:rPr>
        <w:t>行政法是有关行政以及与行政有关的法律规范的总称。其特征包括：（1）行政法是国内公法；（2）行政法是政治性与技术性的统一法；（3）行政法既是控制法又是保障法；（4）行政法是具有“多元性”的法；（5）行政法是实体法与程序法的综合；（6）行政法是行为规范与裁判规范的统一。</w:t>
      </w:r>
    </w:p>
    <w:p w14:paraId="49503EE5">
      <w:pPr>
        <w:spacing w:line="360" w:lineRule="auto"/>
        <w:rPr>
          <w:rFonts w:hint="eastAsia" w:ascii="宋体" w:hAnsi="宋体"/>
          <w:b/>
          <w:szCs w:val="21"/>
        </w:rPr>
      </w:pPr>
      <w:r>
        <w:rPr>
          <w:rFonts w:hint="eastAsia" w:ascii="宋体" w:hAnsi="宋体"/>
          <w:b/>
          <w:szCs w:val="21"/>
        </w:rPr>
        <w:t>三、案例分析题</w:t>
      </w:r>
    </w:p>
    <w:p w14:paraId="3E46FB4E">
      <w:pPr>
        <w:spacing w:line="360" w:lineRule="auto"/>
        <w:rPr>
          <w:rFonts w:ascii="宋体" w:hAnsi="宋体"/>
          <w:szCs w:val="21"/>
        </w:rPr>
      </w:pPr>
      <w:r>
        <w:rPr>
          <w:rFonts w:hint="eastAsia" w:ascii="宋体" w:hAnsi="宋体"/>
          <w:szCs w:val="21"/>
        </w:rPr>
        <w:t>1. 龙南县人民政府有强制拆除的权力。《行政强制法》赋予了行政机关对违法建筑强制执行权。</w:t>
      </w:r>
    </w:p>
    <w:p w14:paraId="475C2D17">
      <w:pPr>
        <w:spacing w:line="360" w:lineRule="auto"/>
        <w:rPr>
          <w:rFonts w:ascii="宋体" w:hAnsi="宋体"/>
          <w:szCs w:val="21"/>
        </w:rPr>
      </w:pPr>
      <w:r>
        <w:rPr>
          <w:rFonts w:hint="eastAsia" w:ascii="宋体" w:hAnsi="宋体"/>
          <w:szCs w:val="21"/>
        </w:rPr>
        <w:t xml:space="preserve">2. </w:t>
      </w:r>
      <w:r>
        <w:rPr>
          <w:rFonts w:hint="eastAsia" w:ascii="宋体" w:hAnsi="宋体"/>
          <w:bCs/>
          <w:szCs w:val="21"/>
        </w:rPr>
        <w:t>企业断电行为是辅助行政机关行使国家行政职权的行为，非企业意志的体现。当事人认为断电行为侵犯其合法权益，有权提起行政诉讼。</w:t>
      </w:r>
    </w:p>
    <w:p w14:paraId="6A5EE9D6">
      <w:pPr>
        <w:shd w:val="clear" w:color="auto" w:fill="FFFFFF"/>
        <w:spacing w:line="360" w:lineRule="auto"/>
        <w:rPr>
          <w:rFonts w:ascii="宋体" w:hAnsi="宋体" w:cs="Arial"/>
          <w:color w:val="333333"/>
          <w:kern w:val="0"/>
          <w:szCs w:val="21"/>
        </w:rPr>
      </w:pPr>
      <w:r>
        <w:rPr>
          <w:rFonts w:hint="eastAsia" w:ascii="宋体" w:hAnsi="宋体"/>
          <w:szCs w:val="21"/>
        </w:rPr>
        <w:t xml:space="preserve">3. </w:t>
      </w:r>
      <w:r>
        <w:rPr>
          <w:rFonts w:hint="eastAsia" w:ascii="宋体" w:hAnsi="宋体" w:cs="Arial"/>
          <w:color w:val="333333"/>
          <w:szCs w:val="21"/>
        </w:rPr>
        <w:t>强制拆除程序：限期自行拆除决定—催告—强制拆除决定—公告—拆除。</w:t>
      </w:r>
    </w:p>
    <w:p w14:paraId="48A21ADE">
      <w:pPr>
        <w:spacing w:line="360" w:lineRule="auto"/>
        <w:jc w:val="left"/>
        <w:rPr>
          <w:rFonts w:hint="eastAsia" w:ascii="宋体" w:hAnsi="宋体" w:cs="宋体"/>
        </w:rPr>
      </w:pPr>
      <w:bookmarkStart w:id="0" w:name="_GoBack"/>
      <w:bookmarkEnd w:id="0"/>
    </w:p>
    <w:p w14:paraId="16B20997">
      <w:pPr>
        <w:spacing w:line="360" w:lineRule="auto"/>
        <w:rPr>
          <w:rFonts w:hint="default" w:ascii="宋体" w:hAnsi="宋体"/>
          <w:sz w:val="21"/>
          <w:szCs w:val="21"/>
          <w:lang w:val="en-US" w:eastAsia="zh-CN"/>
        </w:rPr>
      </w:pPr>
    </w:p>
    <w:p w14:paraId="6818A1B7">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07B1A2"/>
    <w:multiLevelType w:val="singleLevel"/>
    <w:tmpl w:val="E607B1A2"/>
    <w:lvl w:ilvl="0" w:tentative="0">
      <w:start w:val="2"/>
      <w:numFmt w:val="decimal"/>
      <w:lvlText w:val="%1."/>
      <w:lvlJc w:val="left"/>
      <w:pPr>
        <w:tabs>
          <w:tab w:val="left" w:pos="312"/>
        </w:tabs>
      </w:pPr>
    </w:lvl>
  </w:abstractNum>
  <w:abstractNum w:abstractNumId="1">
    <w:nsid w:val="6F7161EA"/>
    <w:multiLevelType w:val="singleLevel"/>
    <w:tmpl w:val="6F7161EA"/>
    <w:lvl w:ilvl="0" w:tentative="0">
      <w:start w:val="1"/>
      <w:numFmt w:val="chineseCounting"/>
      <w:suff w:val="nothing"/>
      <w:lvlText w:val="%1、"/>
      <w:lvlJc w:val="left"/>
      <w:rPr>
        <w:rFonts w:hint="eastAsia"/>
      </w:rPr>
    </w:lvl>
  </w:abstractNum>
  <w:abstractNum w:abstractNumId="2">
    <w:nsid w:val="78C383BF"/>
    <w:multiLevelType w:val="singleLevel"/>
    <w:tmpl w:val="78C383BF"/>
    <w:lvl w:ilvl="0" w:tentative="0">
      <w:start w:val="2"/>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912AEA"/>
    <w:rsid w:val="51912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2025-12-13T01:41:00Z</dcterms:created>
  <dc:creator>黄岩育华李才聪</dc:creator>
  <cp:lastModifiedBy>黄岩育华李才聪</cp:lastModifiedBy>
  <dcterms:modified xsi:type="dcterms:W3CDTF">2025-12-13T01:43:52Z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21EE68E775474982A67CCEAA0A16E9F9_11</vt:lpwstr>
  </property>
  <property fmtid="{D5CDD505-2E9C-101B-9397-08002B2CF9AE}" pid="4" name="KSOTemplateDocerSaveRecord">
    <vt:lpwstr>eyJoZGlkIjoiZmQ4ZTQyZDdmOTI0NjQ5MTBlMjM4MTBkY2Y5N2MwMzYiLCJ1c2VySWQiOiI0NTY2Nzc2NjkifQ==</vt:lpwstr>
  </property>
</Properties>
</file>