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6D9CB">
      <w:pPr>
        <w:rPr>
          <w:rFonts w:hint="eastAsia"/>
          <w:lang w:val="en-US" w:eastAsia="zh-CN"/>
        </w:rPr>
      </w:pPr>
      <w:r>
        <w:rPr>
          <w:rFonts w:hint="eastAsia"/>
          <w:lang w:val="en-US" w:eastAsia="zh-CN"/>
        </w:rPr>
        <w:t>行政法与行政诉讼法复习资料</w:t>
      </w:r>
    </w:p>
    <w:p w14:paraId="0196C026">
      <w:pPr>
        <w:numPr>
          <w:ilvl w:val="0"/>
          <w:numId w:val="1"/>
        </w:numPr>
        <w:spacing w:line="360" w:lineRule="auto"/>
        <w:rPr>
          <w:rFonts w:hint="eastAsia" w:ascii="宋体" w:hAnsi="宋体"/>
          <w:b/>
          <w:color w:val="000000"/>
          <w:sz w:val="21"/>
          <w:szCs w:val="21"/>
        </w:rPr>
      </w:pPr>
      <w:r>
        <w:rPr>
          <w:rFonts w:hint="eastAsia" w:ascii="宋体" w:hAnsi="宋体"/>
          <w:b/>
          <w:color w:val="000000"/>
          <w:sz w:val="21"/>
          <w:szCs w:val="21"/>
        </w:rPr>
        <w:t>简答题</w:t>
      </w:r>
    </w:p>
    <w:p w14:paraId="441432FB">
      <w:pPr>
        <w:numPr>
          <w:numId w:val="0"/>
        </w:numPr>
        <w:spacing w:line="360" w:lineRule="auto"/>
        <w:rPr>
          <w:rFonts w:hint="eastAsia" w:ascii="宋体" w:hAnsi="宋体"/>
          <w:color w:val="000000"/>
          <w:sz w:val="21"/>
          <w:szCs w:val="21"/>
        </w:rPr>
      </w:pPr>
      <w:r>
        <w:rPr>
          <w:rFonts w:hint="eastAsia" w:ascii="宋体" w:hAnsi="宋体"/>
          <w:color w:val="000000"/>
          <w:sz w:val="21"/>
          <w:szCs w:val="21"/>
        </w:rPr>
        <w:t>1.简述行政征收与行政征用的基本原则。</w:t>
      </w:r>
    </w:p>
    <w:p w14:paraId="251449CA">
      <w:pPr>
        <w:numPr>
          <w:ilvl w:val="0"/>
          <w:numId w:val="2"/>
        </w:numPr>
        <w:spacing w:line="360" w:lineRule="auto"/>
        <w:rPr>
          <w:rFonts w:hint="eastAsia" w:ascii="宋体" w:hAnsi="宋体"/>
          <w:color w:val="000000"/>
          <w:sz w:val="21"/>
          <w:szCs w:val="21"/>
        </w:rPr>
      </w:pPr>
      <w:r>
        <w:rPr>
          <w:rFonts w:hint="eastAsia" w:ascii="宋体" w:hAnsi="宋体"/>
          <w:color w:val="000000"/>
          <w:sz w:val="21"/>
          <w:szCs w:val="21"/>
        </w:rPr>
        <w:t>简述行政立法与法律制定的区别。</w:t>
      </w:r>
    </w:p>
    <w:p w14:paraId="26772E90">
      <w:pPr>
        <w:numPr>
          <w:ilvl w:val="0"/>
          <w:numId w:val="2"/>
        </w:numPr>
        <w:spacing w:line="360" w:lineRule="auto"/>
        <w:ind w:left="0" w:leftChars="0" w:firstLine="0" w:firstLineChars="0"/>
        <w:rPr>
          <w:rFonts w:hint="eastAsia" w:ascii="宋体" w:hAnsi="宋体"/>
          <w:color w:val="000000"/>
          <w:sz w:val="21"/>
          <w:szCs w:val="21"/>
        </w:rPr>
      </w:pPr>
      <w:r>
        <w:rPr>
          <w:rFonts w:hint="eastAsia" w:ascii="宋体" w:hAnsi="宋体"/>
          <w:color w:val="000000"/>
          <w:sz w:val="21"/>
          <w:szCs w:val="21"/>
        </w:rPr>
        <w:t>简述行政许可法的信赖保护原则。</w:t>
      </w:r>
    </w:p>
    <w:p w14:paraId="752EC9EF">
      <w:pPr>
        <w:numPr>
          <w:ilvl w:val="0"/>
          <w:numId w:val="1"/>
        </w:numPr>
        <w:spacing w:line="360" w:lineRule="auto"/>
        <w:ind w:left="0" w:leftChars="0" w:firstLine="0" w:firstLineChars="0"/>
        <w:rPr>
          <w:rFonts w:hint="eastAsia" w:ascii="宋体" w:hAnsi="宋体"/>
          <w:b/>
          <w:color w:val="000000"/>
          <w:sz w:val="21"/>
          <w:szCs w:val="21"/>
        </w:rPr>
      </w:pPr>
      <w:r>
        <w:rPr>
          <w:rFonts w:hint="eastAsia" w:ascii="宋体" w:hAnsi="宋体"/>
          <w:b/>
          <w:color w:val="000000"/>
          <w:sz w:val="21"/>
          <w:szCs w:val="21"/>
        </w:rPr>
        <w:t>论述题</w:t>
      </w:r>
    </w:p>
    <w:p w14:paraId="68094620">
      <w:pPr>
        <w:numPr>
          <w:numId w:val="0"/>
        </w:numPr>
        <w:spacing w:line="360" w:lineRule="auto"/>
        <w:ind w:leftChars="0"/>
        <w:rPr>
          <w:rFonts w:hint="eastAsia" w:ascii="宋体" w:hAnsi="宋体"/>
          <w:color w:val="000000"/>
          <w:sz w:val="21"/>
          <w:szCs w:val="21"/>
        </w:rPr>
      </w:pPr>
      <w:r>
        <w:rPr>
          <w:rFonts w:hint="eastAsia" w:ascii="宋体" w:hAnsi="宋体"/>
          <w:color w:val="000000"/>
          <w:sz w:val="21"/>
          <w:szCs w:val="21"/>
        </w:rPr>
        <w:t>1.论行政处罚的种类及其设定。</w:t>
      </w:r>
    </w:p>
    <w:p w14:paraId="651EF27F">
      <w:pPr>
        <w:numPr>
          <w:ilvl w:val="0"/>
          <w:numId w:val="3"/>
        </w:numPr>
        <w:spacing w:line="360" w:lineRule="auto"/>
        <w:rPr>
          <w:rFonts w:hint="eastAsia" w:ascii="宋体" w:hAnsi="宋体"/>
          <w:color w:val="000000"/>
          <w:sz w:val="21"/>
          <w:szCs w:val="21"/>
        </w:rPr>
      </w:pPr>
      <w:r>
        <w:rPr>
          <w:rFonts w:hint="eastAsia" w:ascii="宋体" w:hAnsi="宋体"/>
          <w:color w:val="000000"/>
          <w:sz w:val="21"/>
          <w:szCs w:val="21"/>
        </w:rPr>
        <w:t>试比较行政授权与行政委托。</w:t>
      </w:r>
      <w:bookmarkStart w:id="0" w:name="_GoBack"/>
      <w:bookmarkEnd w:id="0"/>
    </w:p>
    <w:p w14:paraId="2937F693">
      <w:pPr>
        <w:spacing w:line="360" w:lineRule="auto"/>
        <w:rPr>
          <w:rFonts w:ascii="宋体" w:hAnsi="宋体"/>
          <w:b/>
          <w:color w:val="000000"/>
          <w:sz w:val="21"/>
          <w:szCs w:val="21"/>
        </w:rPr>
      </w:pPr>
      <w:r>
        <w:rPr>
          <w:rFonts w:hint="eastAsia" w:ascii="宋体" w:hAnsi="宋体"/>
          <w:b/>
          <w:color w:val="000000"/>
          <w:sz w:val="21"/>
          <w:szCs w:val="21"/>
        </w:rPr>
        <w:t>三、案例分析题</w:t>
      </w:r>
    </w:p>
    <w:p w14:paraId="0DA9CE25">
      <w:pPr>
        <w:spacing w:line="360" w:lineRule="auto"/>
        <w:ind w:firstLine="315" w:firstLineChars="150"/>
        <w:rPr>
          <w:rFonts w:ascii="宋体" w:hAnsi="宋体"/>
          <w:color w:val="000000"/>
          <w:sz w:val="21"/>
          <w:szCs w:val="21"/>
        </w:rPr>
      </w:pPr>
      <w:r>
        <w:rPr>
          <w:rFonts w:ascii="宋体" w:hAnsi="宋体"/>
          <w:bCs/>
          <w:color w:val="000000"/>
          <w:sz w:val="21"/>
          <w:szCs w:val="21"/>
          <w:shd w:val="clear" w:color="auto" w:fill="FFFFFF"/>
        </w:rPr>
        <w:t>2021</w:t>
      </w:r>
      <w:r>
        <w:rPr>
          <w:rFonts w:hint="eastAsia" w:ascii="宋体" w:hAnsi="宋体"/>
          <w:bCs/>
          <w:color w:val="000000"/>
          <w:sz w:val="21"/>
          <w:szCs w:val="21"/>
          <w:shd w:val="clear" w:color="auto" w:fill="FFFFFF"/>
        </w:rPr>
        <w:t>年</w:t>
      </w:r>
      <w:r>
        <w:rPr>
          <w:rFonts w:ascii="宋体" w:hAnsi="宋体"/>
          <w:bCs/>
          <w:color w:val="000000"/>
          <w:sz w:val="21"/>
          <w:szCs w:val="21"/>
          <w:shd w:val="clear" w:color="auto" w:fill="FFFFFF"/>
        </w:rPr>
        <w:t>4</w:t>
      </w:r>
      <w:r>
        <w:rPr>
          <w:rFonts w:hint="eastAsia" w:ascii="宋体" w:hAnsi="宋体"/>
          <w:bCs/>
          <w:color w:val="000000"/>
          <w:sz w:val="21"/>
          <w:szCs w:val="21"/>
          <w:shd w:val="clear" w:color="auto" w:fill="FFFFFF"/>
        </w:rPr>
        <w:t>月</w:t>
      </w:r>
      <w:r>
        <w:rPr>
          <w:rFonts w:ascii="宋体" w:hAnsi="宋体"/>
          <w:bCs/>
          <w:color w:val="000000"/>
          <w:sz w:val="21"/>
          <w:szCs w:val="21"/>
          <w:shd w:val="clear" w:color="auto" w:fill="FFFFFF"/>
        </w:rPr>
        <w:t>6</w:t>
      </w:r>
      <w:r>
        <w:rPr>
          <w:rFonts w:hint="eastAsia" w:ascii="宋体" w:hAnsi="宋体"/>
          <w:bCs/>
          <w:color w:val="000000"/>
          <w:sz w:val="21"/>
          <w:szCs w:val="21"/>
          <w:shd w:val="clear" w:color="auto" w:fill="FFFFFF"/>
        </w:rPr>
        <w:t>日，卡车司机金某强在河北省唐山市丰润区某超限站因处罚服毒身亡，原因是定位系统掉线罚款</w:t>
      </w:r>
      <w:r>
        <w:rPr>
          <w:rFonts w:ascii="宋体" w:hAnsi="宋体"/>
          <w:bCs/>
          <w:color w:val="000000"/>
          <w:sz w:val="21"/>
          <w:szCs w:val="21"/>
          <w:shd w:val="clear" w:color="auto" w:fill="FFFFFF"/>
        </w:rPr>
        <w:t>2000</w:t>
      </w:r>
      <w:r>
        <w:rPr>
          <w:rFonts w:hint="eastAsia" w:ascii="宋体" w:hAnsi="宋体"/>
          <w:bCs/>
          <w:color w:val="000000"/>
          <w:sz w:val="21"/>
          <w:szCs w:val="21"/>
          <w:shd w:val="clear" w:color="auto" w:fill="FFFFFF"/>
        </w:rPr>
        <w:t>元，并扣押车辆。根据交通部颁布的《道路运输车辆动态监督管理办法》相关规定，道路运输经营者使用卫星定位装置出现故障不能保持在线的运输车辆从事经营活动的，由县级以上道路运输管理机构责令改正。拒不改正的，处</w:t>
      </w:r>
      <w:r>
        <w:rPr>
          <w:rFonts w:ascii="宋体" w:hAnsi="宋体"/>
          <w:bCs/>
          <w:color w:val="000000"/>
          <w:sz w:val="21"/>
          <w:szCs w:val="21"/>
          <w:shd w:val="clear" w:color="auto" w:fill="FFFFFF"/>
        </w:rPr>
        <w:t>800</w:t>
      </w:r>
      <w:r>
        <w:rPr>
          <w:rFonts w:hint="eastAsia" w:ascii="宋体" w:hAnsi="宋体"/>
          <w:bCs/>
          <w:color w:val="000000"/>
          <w:sz w:val="21"/>
          <w:szCs w:val="21"/>
          <w:shd w:val="clear" w:color="auto" w:fill="FFFFFF"/>
        </w:rPr>
        <w:t>元罚款。有破坏卫星定位装置以及恶意人为干扰、屏蔽卫星定位装置信号情形的，由县级以上道路运输管理机构责令改正，处</w:t>
      </w:r>
      <w:r>
        <w:rPr>
          <w:rFonts w:ascii="宋体" w:hAnsi="宋体"/>
          <w:bCs/>
          <w:color w:val="000000"/>
          <w:sz w:val="21"/>
          <w:szCs w:val="21"/>
          <w:shd w:val="clear" w:color="auto" w:fill="FFFFFF"/>
        </w:rPr>
        <w:t>2000</w:t>
      </w:r>
      <w:r>
        <w:rPr>
          <w:rFonts w:hint="eastAsia" w:ascii="宋体" w:hAnsi="宋体"/>
          <w:bCs/>
          <w:color w:val="000000"/>
          <w:sz w:val="21"/>
          <w:szCs w:val="21"/>
          <w:shd w:val="clear" w:color="auto" w:fill="FFFFFF"/>
        </w:rPr>
        <w:t>元以上</w:t>
      </w:r>
      <w:r>
        <w:rPr>
          <w:rFonts w:ascii="宋体" w:hAnsi="宋体"/>
          <w:bCs/>
          <w:color w:val="000000"/>
          <w:sz w:val="21"/>
          <w:szCs w:val="21"/>
          <w:shd w:val="clear" w:color="auto" w:fill="FFFFFF"/>
        </w:rPr>
        <w:t>5000</w:t>
      </w:r>
      <w:r>
        <w:rPr>
          <w:rFonts w:hint="eastAsia" w:ascii="宋体" w:hAnsi="宋体"/>
          <w:bCs/>
          <w:color w:val="000000"/>
          <w:sz w:val="21"/>
          <w:szCs w:val="21"/>
          <w:shd w:val="clear" w:color="auto" w:fill="FFFFFF"/>
        </w:rPr>
        <w:t>元以下罚款。</w:t>
      </w:r>
    </w:p>
    <w:p w14:paraId="497B9384">
      <w:pPr>
        <w:spacing w:line="360" w:lineRule="auto"/>
        <w:ind w:firstLine="315" w:firstLineChars="150"/>
        <w:rPr>
          <w:rFonts w:ascii="宋体" w:hAnsi="宋体"/>
          <w:color w:val="000000"/>
          <w:sz w:val="21"/>
          <w:szCs w:val="21"/>
        </w:rPr>
      </w:pPr>
      <w:r>
        <w:rPr>
          <w:rFonts w:hint="eastAsia" w:ascii="宋体" w:hAnsi="宋体"/>
          <w:color w:val="000000"/>
          <w:sz w:val="21"/>
          <w:szCs w:val="21"/>
        </w:rPr>
        <w:t>问：1. 简述行政处罚的概念。</w:t>
      </w:r>
    </w:p>
    <w:p w14:paraId="68D1B965">
      <w:pPr>
        <w:spacing w:line="360" w:lineRule="auto"/>
        <w:rPr>
          <w:rFonts w:ascii="宋体" w:hAnsi="宋体"/>
          <w:color w:val="000000"/>
          <w:sz w:val="21"/>
          <w:szCs w:val="21"/>
        </w:rPr>
      </w:pPr>
      <w:r>
        <w:rPr>
          <w:rFonts w:hint="eastAsia" w:ascii="宋体" w:hAnsi="宋体"/>
          <w:color w:val="000000"/>
          <w:sz w:val="21"/>
          <w:szCs w:val="21"/>
        </w:rPr>
        <w:t xml:space="preserve">       2. 责令改正是否属于行政处罚？试说明理由。</w:t>
      </w:r>
    </w:p>
    <w:p w14:paraId="063F50C5">
      <w:pPr>
        <w:rPr>
          <w:rFonts w:hint="eastAsia" w:ascii="宋体" w:hAnsi="宋体"/>
          <w:color w:val="000000"/>
          <w:sz w:val="21"/>
          <w:szCs w:val="21"/>
        </w:rPr>
      </w:pPr>
      <w:r>
        <w:rPr>
          <w:rFonts w:hint="eastAsia" w:ascii="宋体" w:hAnsi="宋体"/>
          <w:bCs/>
          <w:color w:val="000000"/>
          <w:sz w:val="21"/>
          <w:szCs w:val="21"/>
          <w:shd w:val="clear" w:color="auto" w:fill="FFFFFF"/>
        </w:rPr>
        <w:t>3.《道路运输车辆动态监督管理办法》属于哪种法律渊源？</w:t>
      </w:r>
      <w:r>
        <w:rPr>
          <w:rFonts w:hint="eastAsia" w:ascii="宋体" w:hAnsi="宋体"/>
          <w:color w:val="000000"/>
          <w:sz w:val="21"/>
          <w:szCs w:val="21"/>
        </w:rPr>
        <w:t>如违法，该如何救济？</w:t>
      </w:r>
    </w:p>
    <w:p w14:paraId="32B17243">
      <w:pPr>
        <w:rPr>
          <w:rFonts w:hint="eastAsia" w:ascii="宋体" w:hAnsi="宋体"/>
          <w:color w:val="000000"/>
          <w:sz w:val="21"/>
          <w:szCs w:val="21"/>
        </w:rPr>
      </w:pPr>
    </w:p>
    <w:p w14:paraId="4FF1252F">
      <w:pPr>
        <w:rPr>
          <w:rFonts w:hint="eastAsia" w:ascii="宋体" w:hAnsi="宋体"/>
          <w:color w:val="000000"/>
          <w:sz w:val="21"/>
          <w:szCs w:val="21"/>
        </w:rPr>
      </w:pPr>
    </w:p>
    <w:p w14:paraId="37BE10ED">
      <w:pPr>
        <w:rPr>
          <w:rFonts w:hint="eastAsia" w:ascii="宋体" w:hAnsi="宋体"/>
          <w:color w:val="000000"/>
          <w:sz w:val="21"/>
          <w:szCs w:val="21"/>
          <w:lang w:val="en-US" w:eastAsia="zh-CN"/>
        </w:rPr>
      </w:pPr>
      <w:r>
        <w:rPr>
          <w:rFonts w:hint="eastAsia" w:ascii="宋体" w:hAnsi="宋体"/>
          <w:color w:val="000000"/>
          <w:sz w:val="21"/>
          <w:szCs w:val="21"/>
          <w:lang w:val="en-US" w:eastAsia="zh-CN"/>
        </w:rPr>
        <w:t>答案</w:t>
      </w:r>
    </w:p>
    <w:p w14:paraId="339A6BAC">
      <w:pPr>
        <w:spacing w:line="360" w:lineRule="auto"/>
        <w:rPr>
          <w:rFonts w:hint="eastAsia" w:ascii="宋体" w:hAnsi="宋体"/>
          <w:b/>
        </w:rPr>
      </w:pPr>
      <w:r>
        <w:rPr>
          <w:rFonts w:hint="eastAsia" w:ascii="宋体" w:hAnsi="宋体"/>
          <w:b/>
        </w:rPr>
        <w:t>一、简答题</w:t>
      </w:r>
    </w:p>
    <w:p w14:paraId="3F168A80">
      <w:pPr>
        <w:spacing w:line="360" w:lineRule="auto"/>
        <w:rPr>
          <w:rFonts w:ascii="宋体" w:hAnsi="宋体"/>
        </w:rPr>
      </w:pPr>
      <w:r>
        <w:rPr>
          <w:rFonts w:hint="eastAsia" w:ascii="宋体" w:hAnsi="宋体"/>
        </w:rPr>
        <w:t>1.行政征收与行政征用的概念。</w:t>
      </w:r>
      <w:r>
        <w:rPr>
          <w:rFonts w:hint="eastAsia" w:ascii="宋体" w:hAnsi="宋体"/>
          <w:bCs/>
        </w:rPr>
        <w:t xml:space="preserve">在实施行政征收或者征用时，必须坚持以下原则：（1）法定原则；（2）公益原则；（3）补偿原则；（4）合理原则。 </w:t>
      </w:r>
    </w:p>
    <w:p w14:paraId="399EAA66">
      <w:pPr>
        <w:spacing w:line="360" w:lineRule="auto"/>
        <w:rPr>
          <w:rFonts w:hint="eastAsia" w:ascii="宋体" w:hAnsi="宋体"/>
        </w:rPr>
      </w:pPr>
      <w:r>
        <w:rPr>
          <w:rFonts w:hint="eastAsia" w:ascii="宋体" w:hAnsi="宋体"/>
        </w:rPr>
        <w:t>2.行政立法与法律制定的概念。</w:t>
      </w:r>
      <w:r>
        <w:rPr>
          <w:rFonts w:hint="eastAsia" w:ascii="宋体" w:hAnsi="宋体"/>
          <w:bCs/>
        </w:rPr>
        <w:t>（1）</w:t>
      </w:r>
      <w:r>
        <w:rPr>
          <w:rFonts w:hint="eastAsia" w:ascii="宋体" w:hAnsi="宋体"/>
        </w:rPr>
        <w:t>主体不同；</w:t>
      </w:r>
      <w:r>
        <w:rPr>
          <w:rFonts w:hint="eastAsia" w:ascii="宋体" w:hAnsi="宋体"/>
          <w:bCs/>
        </w:rPr>
        <w:t>（2）</w:t>
      </w:r>
      <w:r>
        <w:rPr>
          <w:rFonts w:hint="eastAsia" w:ascii="宋体" w:hAnsi="宋体"/>
        </w:rPr>
        <w:t>立法调整的对象不同；</w:t>
      </w:r>
      <w:r>
        <w:rPr>
          <w:rFonts w:hint="eastAsia" w:ascii="宋体" w:hAnsi="宋体"/>
          <w:bCs/>
        </w:rPr>
        <w:t>（3）</w:t>
      </w:r>
      <w:r>
        <w:rPr>
          <w:rFonts w:hint="eastAsia" w:ascii="宋体" w:hAnsi="宋体"/>
        </w:rPr>
        <w:t>所立之“法”的效力不同；</w:t>
      </w:r>
      <w:r>
        <w:rPr>
          <w:rFonts w:hint="eastAsia" w:ascii="宋体" w:hAnsi="宋体"/>
          <w:bCs/>
        </w:rPr>
        <w:t>（4）</w:t>
      </w:r>
      <w:r>
        <w:rPr>
          <w:rFonts w:hint="eastAsia" w:ascii="宋体" w:hAnsi="宋体"/>
        </w:rPr>
        <w:t>立法的程序不同；（5）立法的形式不同。</w:t>
      </w:r>
    </w:p>
    <w:p w14:paraId="5A7537B2">
      <w:pPr>
        <w:spacing w:line="360" w:lineRule="auto"/>
        <w:rPr>
          <w:rFonts w:ascii="宋体" w:hAnsi="宋体"/>
        </w:rPr>
      </w:pPr>
      <w:r>
        <w:rPr>
          <w:rFonts w:hint="eastAsia" w:ascii="宋体" w:hAnsi="宋体"/>
          <w:bCs/>
        </w:rPr>
        <w:t>3.《行政许可法》规定：公民、法人或者其他组织依法取得的行政许可受法律保护，行政机关不得擅自改变已经生效的行政许可。行政许可所依据的法律、法规、规章修改或者废止，或者准予行政许可所依据的客观情况发生重大变化的，为了公共利益的需要，行政机关可以依法变更或者撤回已经生效的行政许可。由此给公民、法人或者其他组织造成财产损失的，行政机关应当依法给予补偿。</w:t>
      </w:r>
    </w:p>
    <w:p w14:paraId="10A24299">
      <w:pPr>
        <w:spacing w:line="360" w:lineRule="auto"/>
        <w:rPr>
          <w:rFonts w:hint="eastAsia" w:ascii="宋体" w:hAnsi="宋体"/>
          <w:b/>
        </w:rPr>
      </w:pPr>
      <w:r>
        <w:rPr>
          <w:rFonts w:hint="eastAsia" w:ascii="宋体" w:hAnsi="宋体"/>
          <w:b/>
        </w:rPr>
        <w:t>二、论述题</w:t>
      </w:r>
    </w:p>
    <w:p w14:paraId="59B7319A">
      <w:pPr>
        <w:spacing w:line="360" w:lineRule="auto"/>
        <w:rPr>
          <w:rFonts w:ascii="宋体" w:hAnsi="宋体"/>
          <w:bCs/>
        </w:rPr>
      </w:pPr>
      <w:r>
        <w:rPr>
          <w:rFonts w:hint="eastAsia" w:ascii="宋体" w:hAnsi="宋体"/>
        </w:rPr>
        <w:t>1</w:t>
      </w:r>
      <w:r>
        <w:rPr>
          <w:rFonts w:hint="eastAsia" w:ascii="宋体" w:hAnsi="宋体"/>
          <w:lang w:val="en-US" w:eastAsia="zh-CN"/>
        </w:rPr>
        <w:t>.</w:t>
      </w:r>
      <w:r>
        <w:rPr>
          <w:rFonts w:hint="eastAsia" w:ascii="宋体" w:hAnsi="宋体"/>
        </w:rPr>
        <w:t>（1）</w:t>
      </w:r>
      <w:r>
        <w:rPr>
          <w:rFonts w:hint="eastAsia" w:ascii="宋体" w:hAnsi="宋体"/>
          <w:bCs/>
        </w:rPr>
        <w:t>根据《行政处罚法》规定，行政处罚可分七类：警告、通报批评；罚款、没收违法所得、没收非法财物；暂扣许可证件、降低资质等级、吊销许可证件；限制开展生产经营活动、责令停产停业、责令关闭、限制从业；行政拘留；法律、行政法规规定的其他行政处罚。</w:t>
      </w:r>
    </w:p>
    <w:p w14:paraId="447632AC">
      <w:pPr>
        <w:spacing w:line="360" w:lineRule="auto"/>
        <w:rPr>
          <w:rFonts w:ascii="宋体" w:hAnsi="宋体"/>
          <w:bCs/>
        </w:rPr>
      </w:pPr>
      <w:r>
        <w:rPr>
          <w:rFonts w:hint="eastAsia" w:ascii="宋体" w:hAnsi="宋体"/>
          <w:bCs/>
        </w:rPr>
        <w:t>（2）行政处罚法的设定。第一，法律可以设定所有的处罚，而且限制人身自由的处罚只能由法律设定。第二，尚未制定法律的，行政法规可以设定除限制人身自由以外的各种处罚；法律对违法行为未作出行政处罚规定，行政法规为实施法律，可以补充设定行政处罚。第三，尚未制定法律、行政法规的，地方性法规可以设定除限制人身自由、吊销企业营业执照以外的各种处罚；法律、行政法规对违法行为未作出行政处罚规定，地方性法规为实施法律、行政法规，可以补充设定行政处罚。第四，尚未制定法律、法规的，部门规章和地方政府规章可以设定警告、通报批评或者一定数额罚款的行政处罚。</w:t>
      </w:r>
    </w:p>
    <w:p w14:paraId="224754D0">
      <w:pPr>
        <w:spacing w:line="360" w:lineRule="auto"/>
        <w:rPr>
          <w:rFonts w:hint="eastAsia" w:ascii="宋体" w:hAnsi="宋体"/>
        </w:rPr>
      </w:pPr>
    </w:p>
    <w:p w14:paraId="2A4B7883">
      <w:pPr>
        <w:spacing w:line="360" w:lineRule="auto"/>
        <w:rPr>
          <w:rFonts w:ascii="宋体" w:hAnsi="宋体"/>
        </w:rPr>
      </w:pPr>
      <w:r>
        <w:rPr>
          <w:rFonts w:hint="eastAsia" w:ascii="宋体" w:hAnsi="宋体"/>
        </w:rPr>
        <w:t>2.（1）</w:t>
      </w:r>
      <w:r>
        <w:rPr>
          <w:rFonts w:hint="eastAsia" w:ascii="宋体" w:hAnsi="宋体"/>
          <w:bCs/>
        </w:rPr>
        <w:t>行政授权是指行政机关以外的组织经法律法规授权，以自己的名义对外管理，并承担法律后果的制度。第一，行政授权是行政机关以外的组织承担行政职能的一种法律制度。第二，行政授权是指经过法律、行政法规和地方性法规把行政权力授予行政机关以外的组织实施。 第三，经行政授权的组织是以自己的名义对外管理，并独立承担其法律责任。</w:t>
      </w:r>
    </w:p>
    <w:p w14:paraId="37F6322F">
      <w:pPr>
        <w:spacing w:line="360" w:lineRule="auto"/>
        <w:rPr>
          <w:rFonts w:ascii="宋体" w:hAnsi="宋体"/>
        </w:rPr>
      </w:pPr>
      <w:r>
        <w:rPr>
          <w:rFonts w:hint="eastAsia" w:ascii="宋体" w:hAnsi="宋体"/>
          <w:bCs/>
        </w:rPr>
        <w:t>（2）行政委托是指行政机关根据管理的需要，依法委托其他组织或个人实施行政行为，其后果归属于委托的行政机关。 第一，行政委托是行政机关之外的组织参与实施具体行政任务的法律制度。第二，行政委托是源于行政机关的委托，不是立法直接授权。第三，行政委托中受委托组织是以委托行政机关的名义对外行使权力，履行行政职责，其法律后果由委托的行政机关承担。</w:t>
      </w:r>
    </w:p>
    <w:p w14:paraId="37755D79">
      <w:pPr>
        <w:spacing w:line="360" w:lineRule="auto"/>
        <w:rPr>
          <w:rFonts w:hint="eastAsia" w:ascii="宋体" w:hAnsi="宋体"/>
          <w:b/>
        </w:rPr>
      </w:pPr>
      <w:r>
        <w:rPr>
          <w:rFonts w:hint="eastAsia" w:ascii="宋体" w:hAnsi="宋体"/>
          <w:b/>
        </w:rPr>
        <w:t>三、案例分析题</w:t>
      </w:r>
    </w:p>
    <w:p w14:paraId="4754237E">
      <w:pPr>
        <w:shd w:val="clear" w:color="auto" w:fill="FFFFFF"/>
        <w:spacing w:line="360" w:lineRule="auto"/>
        <w:rPr>
          <w:rFonts w:ascii="宋体" w:hAnsi="宋体" w:cs="Arial"/>
          <w:color w:val="333333"/>
          <w:kern w:val="0"/>
          <w:szCs w:val="21"/>
        </w:rPr>
      </w:pPr>
      <w:r>
        <w:rPr>
          <w:rFonts w:hint="eastAsia" w:ascii="宋体" w:hAnsi="宋体"/>
          <w:szCs w:val="21"/>
        </w:rPr>
        <w:t>1.</w:t>
      </w:r>
      <w:r>
        <w:rPr>
          <w:rFonts w:ascii="宋体" w:hAnsi="宋体" w:cs="Arial"/>
          <w:color w:val="333333"/>
          <w:szCs w:val="21"/>
        </w:rPr>
        <w:t xml:space="preserve"> </w:t>
      </w:r>
      <w:r>
        <w:rPr>
          <w:rFonts w:hint="eastAsia" w:ascii="宋体" w:hAnsi="宋体" w:cs="Arial"/>
          <w:bCs/>
          <w:color w:val="333333"/>
          <w:szCs w:val="21"/>
        </w:rPr>
        <w:t>行政处罚是指行政机关依法对违反行政管理秩序的公民、法人或者其他组织，以减损权益或者增加义务的方式予以惩戒的行为。</w:t>
      </w:r>
    </w:p>
    <w:p w14:paraId="4A73741F">
      <w:pPr>
        <w:spacing w:line="360" w:lineRule="auto"/>
      </w:pPr>
      <w:r>
        <w:rPr>
          <w:rFonts w:hint="eastAsia" w:ascii="宋体" w:hAnsi="宋体"/>
          <w:szCs w:val="21"/>
        </w:rPr>
        <w:t>2.</w:t>
      </w:r>
      <w:r>
        <w:rPr>
          <w:rFonts w:hint="eastAsia"/>
        </w:rPr>
        <w:t xml:space="preserve"> 责令改正不属于行政处罚。责令改正是行政命令，它旨在督促行政相对人履行法定义务，主要表现为限期改正等形式。</w:t>
      </w:r>
    </w:p>
    <w:p w14:paraId="56E8C0D2">
      <w:pPr>
        <w:spacing w:line="360" w:lineRule="auto"/>
        <w:rPr>
          <w:rFonts w:ascii="宋体" w:hAnsi="宋体"/>
          <w:color w:val="333333"/>
          <w:szCs w:val="21"/>
          <w:shd w:val="clear" w:color="auto" w:fill="FFFFFF"/>
        </w:rPr>
      </w:pPr>
      <w:r>
        <w:rPr>
          <w:rFonts w:hint="eastAsia" w:ascii="宋体" w:hAnsi="宋体"/>
          <w:bCs/>
          <w:color w:val="333333"/>
          <w:szCs w:val="21"/>
          <w:shd w:val="clear" w:color="auto" w:fill="FFFFFF"/>
        </w:rPr>
        <w:t>3. 《道路运输车辆动态监督管理办法》属于</w:t>
      </w:r>
      <w:r>
        <w:rPr>
          <w:rFonts w:hint="eastAsia" w:ascii="宋体" w:hAnsi="宋体"/>
          <w:szCs w:val="21"/>
        </w:rPr>
        <w:t xml:space="preserve">部门规章。 </w:t>
      </w:r>
      <w:r>
        <w:rPr>
          <w:rFonts w:hint="eastAsia" w:ascii="宋体" w:hAnsi="宋体"/>
          <w:bCs/>
          <w:szCs w:val="21"/>
        </w:rPr>
        <w:t>《立法法》规定，国务院有权改变或者撤销不适当的部门规章和地方政府规章</w:t>
      </w:r>
      <w:r>
        <w:rPr>
          <w:rFonts w:hint="eastAsia" w:ascii="宋体" w:hAnsi="宋体"/>
          <w:color w:val="333333"/>
          <w:szCs w:val="21"/>
          <w:shd w:val="clear" w:color="auto" w:fill="FFFFFF"/>
        </w:rPr>
        <w:t>。</w:t>
      </w:r>
    </w:p>
    <w:p w14:paraId="773FC8EC">
      <w:pPr>
        <w:rPr>
          <w:rFonts w:hint="eastAsia" w:ascii="宋体" w:hAnsi="宋体"/>
          <w:color w:val="00000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6760FC"/>
    <w:multiLevelType w:val="singleLevel"/>
    <w:tmpl w:val="B86760FC"/>
    <w:lvl w:ilvl="0" w:tentative="0">
      <w:start w:val="2"/>
      <w:numFmt w:val="decimal"/>
      <w:lvlText w:val="%1."/>
      <w:lvlJc w:val="left"/>
      <w:pPr>
        <w:tabs>
          <w:tab w:val="left" w:pos="312"/>
        </w:tabs>
      </w:pPr>
    </w:lvl>
  </w:abstractNum>
  <w:abstractNum w:abstractNumId="1">
    <w:nsid w:val="16C711E7"/>
    <w:multiLevelType w:val="singleLevel"/>
    <w:tmpl w:val="16C711E7"/>
    <w:lvl w:ilvl="0" w:tentative="0">
      <w:start w:val="1"/>
      <w:numFmt w:val="chineseCounting"/>
      <w:suff w:val="nothing"/>
      <w:lvlText w:val="%1、"/>
      <w:lvlJc w:val="left"/>
      <w:rPr>
        <w:rFonts w:hint="eastAsia"/>
      </w:rPr>
    </w:lvl>
  </w:abstractNum>
  <w:abstractNum w:abstractNumId="2">
    <w:nsid w:val="76076B5C"/>
    <w:multiLevelType w:val="singleLevel"/>
    <w:tmpl w:val="76076B5C"/>
    <w:lvl w:ilvl="0" w:tentative="0">
      <w:start w:val="2"/>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D2322C"/>
    <w:rsid w:val="10D23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2025-12-12T07:08:00Z</dcterms:created>
  <dc:creator>黄岩育华李才聪</dc:creator>
  <cp:lastModifiedBy>黄岩育华李才聪</cp:lastModifiedBy>
  <dcterms:modified xsi:type="dcterms:W3CDTF">2025-12-12T07:12:35Z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D10D1F7418AD43E8AA9EDC623DE47DAB_11</vt:lpwstr>
  </property>
  <property fmtid="{D5CDD505-2E9C-101B-9397-08002B2CF9AE}" pid="4" name="KSOTemplateDocerSaveRecord">
    <vt:lpwstr>eyJoZGlkIjoiZmQ4ZTQyZDdmOTI0NjQ5MTBlMjM4MTBkY2Y5N2MwMzYiLCJ1c2VySWQiOiI0NTY2Nzc2NjkifQ==</vt:lpwstr>
  </property>
</Properties>
</file>