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r>
        <w:rPr>
          <w:rFonts w:hint="eastAsia"/>
          <w:b/>
          <w:bCs/>
        </w:rPr>
        <w:t>行政法与行政诉讼法</w:t>
      </w:r>
      <w:r>
        <w:rPr>
          <w:rFonts w:hint="eastAsia"/>
          <w:b/>
          <w:bCs/>
          <w:lang w:val="en-US" w:eastAsia="zh-CN"/>
        </w:rPr>
        <w:t>学复习资料</w:t>
      </w:r>
    </w:p>
    <w:p>
      <w:pPr>
        <w:spacing w:line="360" w:lineRule="auto"/>
        <w:rPr>
          <w:rFonts w:ascii="宋体" w:hAnsi="宋体"/>
          <w:b/>
        </w:rPr>
      </w:pPr>
      <w:r>
        <w:rPr>
          <w:rFonts w:hint="eastAsia" w:ascii="宋体" w:hAnsi="宋体"/>
          <w:b/>
        </w:rPr>
        <w:t>一、简答题</w:t>
      </w:r>
    </w:p>
    <w:p>
      <w:pPr>
        <w:spacing w:line="360" w:lineRule="auto"/>
        <w:rPr>
          <w:rFonts w:hint="eastAsia" w:ascii="宋体" w:hAnsi="宋体"/>
        </w:rPr>
      </w:pPr>
      <w:r>
        <w:rPr>
          <w:rFonts w:hint="eastAsia" w:ascii="宋体" w:hAnsi="宋体"/>
        </w:rPr>
        <w:t>1.简述行政许可法的原则。</w:t>
      </w:r>
    </w:p>
    <w:p>
      <w:pPr>
        <w:spacing w:line="360" w:lineRule="auto"/>
        <w:rPr>
          <w:rFonts w:ascii="宋体" w:hAnsi="宋体"/>
        </w:rPr>
      </w:pPr>
      <w:r>
        <w:rPr>
          <w:rFonts w:hint="eastAsia" w:ascii="宋体" w:hAnsi="宋体"/>
        </w:rPr>
        <w:t>2.简述行政处罚听证适用的条件。</w:t>
      </w:r>
    </w:p>
    <w:p>
      <w:pPr>
        <w:spacing w:line="360" w:lineRule="auto"/>
        <w:rPr>
          <w:rFonts w:ascii="宋体" w:hAnsi="宋体"/>
        </w:rPr>
      </w:pPr>
      <w:r>
        <w:rPr>
          <w:rFonts w:hint="eastAsia" w:ascii="宋体" w:hAnsi="宋体"/>
        </w:rPr>
        <w:t>3.简述行政征收的概念与特征。</w:t>
      </w:r>
    </w:p>
    <w:p>
      <w:pPr>
        <w:spacing w:line="360" w:lineRule="auto"/>
        <w:rPr>
          <w:rFonts w:hint="eastAsia" w:ascii="宋体" w:hAnsi="宋体"/>
        </w:rPr>
      </w:pPr>
    </w:p>
    <w:p>
      <w:pPr>
        <w:spacing w:line="360" w:lineRule="auto"/>
        <w:rPr>
          <w:rFonts w:ascii="宋体" w:hAnsi="宋体"/>
          <w:b/>
        </w:rPr>
      </w:pPr>
      <w:r>
        <w:rPr>
          <w:rFonts w:hint="eastAsia" w:ascii="宋体" w:hAnsi="宋体"/>
          <w:b/>
        </w:rPr>
        <w:t>二、论述题</w:t>
      </w:r>
    </w:p>
    <w:p>
      <w:pPr>
        <w:spacing w:line="360" w:lineRule="auto"/>
        <w:rPr>
          <w:rFonts w:hint="eastAsia" w:ascii="宋体" w:hAnsi="宋体"/>
        </w:rPr>
      </w:pPr>
      <w:r>
        <w:rPr>
          <w:rFonts w:hint="eastAsia" w:ascii="宋体" w:hAnsi="宋体"/>
        </w:rPr>
        <w:t>1.论行政行为的合法要件。</w:t>
      </w:r>
    </w:p>
    <w:p>
      <w:pPr>
        <w:spacing w:line="360" w:lineRule="auto"/>
        <w:rPr>
          <w:rFonts w:hint="eastAsia" w:ascii="宋体" w:hAnsi="宋体"/>
        </w:rPr>
      </w:pPr>
      <w:r>
        <w:rPr>
          <w:rFonts w:hint="eastAsia" w:ascii="宋体" w:hAnsi="宋体"/>
        </w:rPr>
        <w:t>2.论行政法的特征。</w:t>
      </w:r>
    </w:p>
    <w:p>
      <w:pPr>
        <w:spacing w:line="360" w:lineRule="auto"/>
        <w:rPr>
          <w:rFonts w:hint="eastAsia" w:ascii="宋体" w:hAnsi="宋体"/>
        </w:rPr>
      </w:pPr>
    </w:p>
    <w:p>
      <w:pPr>
        <w:spacing w:line="360" w:lineRule="auto"/>
        <w:rPr>
          <w:rFonts w:ascii="宋体" w:hAnsi="宋体"/>
          <w:b/>
        </w:rPr>
      </w:pPr>
      <w:r>
        <w:rPr>
          <w:rFonts w:hint="eastAsia" w:ascii="宋体" w:hAnsi="宋体"/>
          <w:b/>
        </w:rPr>
        <w:t>三、案例分析题</w:t>
      </w:r>
    </w:p>
    <w:p>
      <w:pPr>
        <w:spacing w:line="360" w:lineRule="auto"/>
        <w:ind w:firstLine="315" w:firstLineChars="150"/>
        <w:rPr>
          <w:rFonts w:ascii="宋体" w:hAnsi="宋体"/>
          <w:szCs w:val="21"/>
        </w:rPr>
      </w:pPr>
      <w:r>
        <w:rPr>
          <w:rFonts w:hint="eastAsia" w:ascii="宋体" w:hAnsi="宋体"/>
          <w:color w:val="333333"/>
          <w:szCs w:val="21"/>
          <w:shd w:val="clear" w:color="auto" w:fill="FFFFFF"/>
        </w:rPr>
        <w:t>2020年11月17日，南宁市经济开发区管委会（以下简称“南宁经开区管委会”）以周作柠未经城乡规划主管部门批准，擅建房屋，构成违法建筑为由，发出南经管拆决字（2020）第973号《限期拆除决定书》，要求周作柠在收到该决定书之日起五日内自行拆除，并告知其申请行政复议、提起行政诉讼的权利和期限。2020年11月26日，南宁经开区管委会发出南经管催告字（2020）第1729号《限期履行行政处罚决定催告书》（以下简称1729号催告），要求周作柠在收到该催告书之日起三日内自行拆除，并告知其享有陈述、申辩的权利。2021年1月9日，南宁经开区管委会分别发出南经管(规监)强公字（2021）第8号《限期拆除违法建(构)筑物公告》和南经管(规监)强决字（2021）第8号《行政强制执行决定书》。8号公告限周作柠于2021年1月13日前自行拆除涉案建筑，否则将依法强制拆除；8号决定决定对周作柠违法建设的房屋实施强制拆除，并告知其申请行政复议、提起行政诉讼的权利和期限。2021年1月14日，周作柠违法建设的房屋被南宁经开区管委会强制拆除。</w:t>
      </w:r>
    </w:p>
    <w:p>
      <w:pPr>
        <w:spacing w:line="360" w:lineRule="auto"/>
        <w:ind w:firstLine="315" w:firstLineChars="150"/>
        <w:rPr>
          <w:rFonts w:ascii="宋体" w:hAnsi="宋体"/>
          <w:szCs w:val="21"/>
        </w:rPr>
      </w:pPr>
      <w:r>
        <w:rPr>
          <w:rFonts w:hint="eastAsia" w:ascii="宋体" w:hAnsi="宋体"/>
          <w:szCs w:val="21"/>
        </w:rPr>
        <w:t>1. 简述违法建筑强制拆除的法律程序。</w:t>
      </w:r>
    </w:p>
    <w:p>
      <w:pPr>
        <w:spacing w:line="360" w:lineRule="auto"/>
        <w:rPr>
          <w:rFonts w:ascii="宋体" w:hAnsi="宋体"/>
          <w:szCs w:val="21"/>
        </w:rPr>
      </w:pPr>
      <w:r>
        <w:rPr>
          <w:rFonts w:hint="eastAsia" w:ascii="宋体" w:hAnsi="宋体"/>
          <w:szCs w:val="21"/>
        </w:rPr>
        <w:t xml:space="preserve">   2. 南宁经开区管委会的强制拆除是否违法？如违法，该如何救济？</w:t>
      </w:r>
    </w:p>
    <w:p>
      <w:pPr>
        <w:spacing w:line="360" w:lineRule="auto"/>
        <w:rPr>
          <w:rFonts w:ascii="宋体" w:hAnsi="宋体"/>
          <w:szCs w:val="21"/>
        </w:rPr>
      </w:pPr>
      <w:r>
        <w:rPr>
          <w:rFonts w:hint="eastAsia" w:ascii="宋体" w:hAnsi="宋体"/>
          <w:szCs w:val="21"/>
        </w:rPr>
        <w:t xml:space="preserve">   3. 结合本案中的南宁经开区管委会，试区分派出机关和派出机构。</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bookmarkStart w:id="0" w:name="_GoBack"/>
      <w:bookmarkEnd w:id="0"/>
    </w:p>
    <w:p>
      <w:pPr>
        <w:spacing w:line="360" w:lineRule="auto"/>
        <w:rPr>
          <w:rFonts w:ascii="宋体" w:hAnsi="宋体"/>
          <w:szCs w:val="21"/>
        </w:rPr>
      </w:pPr>
    </w:p>
    <w:p>
      <w:pPr>
        <w:spacing w:line="360" w:lineRule="auto"/>
        <w:rPr>
          <w:rFonts w:ascii="宋体" w:hAnsi="宋体"/>
          <w:szCs w:val="21"/>
        </w:rPr>
      </w:pPr>
    </w:p>
    <w:p>
      <w:pPr>
        <w:rPr>
          <w:rFonts w:hint="eastAsia"/>
          <w:b/>
          <w:bCs/>
          <w:lang w:val="en-US" w:eastAsia="zh-CN"/>
        </w:rPr>
      </w:pPr>
      <w:r>
        <w:rPr>
          <w:rFonts w:hint="eastAsia"/>
          <w:b/>
          <w:bCs/>
          <w:lang w:val="en-US" w:eastAsia="zh-CN"/>
        </w:rPr>
        <w:t>参考答案</w:t>
      </w:r>
    </w:p>
    <w:p>
      <w:pPr>
        <w:numPr>
          <w:ilvl w:val="0"/>
          <w:numId w:val="1"/>
        </w:numPr>
        <w:spacing w:line="360" w:lineRule="auto"/>
        <w:rPr>
          <w:rFonts w:hint="eastAsia" w:ascii="宋体" w:hAnsi="宋体"/>
          <w:b/>
          <w:szCs w:val="21"/>
        </w:rPr>
      </w:pPr>
      <w:r>
        <w:rPr>
          <w:rFonts w:hint="eastAsia" w:ascii="宋体" w:hAnsi="宋体"/>
          <w:b/>
          <w:szCs w:val="21"/>
        </w:rPr>
        <w:t>简答题</w:t>
      </w:r>
    </w:p>
    <w:p>
      <w:pPr>
        <w:numPr>
          <w:numId w:val="0"/>
        </w:numPr>
        <w:spacing w:line="360" w:lineRule="auto"/>
        <w:rPr>
          <w:rFonts w:ascii="宋体" w:hAnsi="宋体"/>
          <w:bCs/>
          <w:szCs w:val="21"/>
        </w:rPr>
      </w:pPr>
      <w:r>
        <w:rPr>
          <w:rFonts w:hint="eastAsia" w:ascii="宋体" w:hAnsi="宋体"/>
          <w:bCs/>
          <w:szCs w:val="21"/>
        </w:rPr>
        <w:t xml:space="preserve">1. </w:t>
      </w:r>
      <w:r>
        <w:rPr>
          <w:rFonts w:hint="eastAsia" w:ascii="宋体" w:hAnsi="宋体"/>
          <w:szCs w:val="21"/>
        </w:rPr>
        <w:t>行政许可</w:t>
      </w:r>
      <w:r>
        <w:rPr>
          <w:rFonts w:hint="eastAsia" w:ascii="宋体" w:hAnsi="宋体"/>
          <w:bCs/>
          <w:szCs w:val="21"/>
        </w:rPr>
        <w:t>指特定的行政主体，根据行政相对人的申请，经依法审查，作出准予或不准予其从事特定活动之决定的行政行为。行政许可法的原则包括：（1）合法原则。（2）公开、公平、公正原则。（3）便民原则。（4）救济原则。（5）信赖保护原则。（6）监督原则。（只要写出其中4点即可）</w:t>
      </w:r>
    </w:p>
    <w:p>
      <w:pPr>
        <w:spacing w:line="360" w:lineRule="auto"/>
        <w:rPr>
          <w:rFonts w:ascii="宋体" w:hAnsi="宋体"/>
          <w:bCs/>
          <w:szCs w:val="21"/>
        </w:rPr>
      </w:pPr>
      <w:r>
        <w:rPr>
          <w:rFonts w:hint="eastAsia" w:ascii="宋体" w:hAnsi="宋体"/>
          <w:bCs/>
          <w:szCs w:val="21"/>
        </w:rPr>
        <w:t>2.行政处罚听证的适用条件包括：第一，实体条件。根据《行政处罚法》的规定，听证只适用处罚较重的行政处罚案件，即较大数额罚款；没收较大数额违法所得、没收较大价值非法财物；降低资质等级、吊销许可证件;责令停产停业、责令关闭、限制从业；其他较重的行政处罚；法律、法规、规章规定的其他情形。第二，程序条件。行政处罚主体在作出行政处罚决定之前，应当告知当事人有要求听证的权利。当事人要求听证的，行政机关应当组织听证。</w:t>
      </w:r>
    </w:p>
    <w:p>
      <w:pPr>
        <w:spacing w:line="360" w:lineRule="auto"/>
        <w:rPr>
          <w:rFonts w:hint="eastAsia" w:ascii="宋体" w:hAnsi="宋体"/>
          <w:bCs/>
          <w:szCs w:val="21"/>
        </w:rPr>
      </w:pPr>
      <w:r>
        <w:rPr>
          <w:rFonts w:hint="eastAsia" w:ascii="宋体" w:hAnsi="宋体"/>
          <w:bCs/>
          <w:szCs w:val="21"/>
        </w:rPr>
        <w:t>3. 行政征收是行政决定的形态之一，也是一种独立的行政行为。是指行政主体依法向行政相对人强制性地收取税费或私有财产的行政行为。其具有</w:t>
      </w:r>
      <w:r>
        <w:rPr>
          <w:rFonts w:ascii="宋体" w:hAnsi="宋体"/>
          <w:bCs/>
          <w:szCs w:val="21"/>
        </w:rPr>
        <w:t>处分性</w:t>
      </w:r>
      <w:r>
        <w:rPr>
          <w:rFonts w:hint="eastAsia" w:ascii="宋体" w:hAnsi="宋体"/>
          <w:bCs/>
          <w:szCs w:val="21"/>
        </w:rPr>
        <w:t>、</w:t>
      </w:r>
      <w:r>
        <w:rPr>
          <w:rFonts w:ascii="宋体" w:hAnsi="宋体"/>
          <w:bCs/>
          <w:szCs w:val="21"/>
        </w:rPr>
        <w:t>强制性</w:t>
      </w:r>
      <w:r>
        <w:rPr>
          <w:rFonts w:hint="eastAsia" w:ascii="宋体" w:hAnsi="宋体"/>
          <w:bCs/>
          <w:szCs w:val="21"/>
        </w:rPr>
        <w:t>、</w:t>
      </w:r>
      <w:r>
        <w:rPr>
          <w:rFonts w:ascii="宋体" w:hAnsi="宋体"/>
          <w:bCs/>
          <w:szCs w:val="21"/>
        </w:rPr>
        <w:t>非对价性</w:t>
      </w:r>
      <w:r>
        <w:rPr>
          <w:rFonts w:hint="eastAsia" w:ascii="宋体" w:hAnsi="宋体"/>
          <w:bCs/>
          <w:szCs w:val="21"/>
        </w:rPr>
        <w:t>、</w:t>
      </w:r>
      <w:r>
        <w:rPr>
          <w:rFonts w:ascii="宋体" w:hAnsi="宋体"/>
          <w:bCs/>
          <w:szCs w:val="21"/>
        </w:rPr>
        <w:t>法定性</w:t>
      </w:r>
      <w:r>
        <w:rPr>
          <w:rFonts w:hint="eastAsia" w:ascii="宋体" w:hAnsi="宋体"/>
          <w:bCs/>
          <w:szCs w:val="21"/>
        </w:rPr>
        <w:t>等法律特征</w:t>
      </w:r>
      <w:r>
        <w:rPr>
          <w:rFonts w:ascii="宋体" w:hAnsi="宋体"/>
          <w:bCs/>
          <w:szCs w:val="21"/>
        </w:rPr>
        <w:t>。</w:t>
      </w:r>
    </w:p>
    <w:p>
      <w:pPr>
        <w:spacing w:line="360" w:lineRule="auto"/>
        <w:rPr>
          <w:rFonts w:hint="eastAsia" w:ascii="宋体" w:hAnsi="宋体"/>
          <w:bCs/>
          <w:szCs w:val="21"/>
        </w:rPr>
      </w:pPr>
    </w:p>
    <w:p>
      <w:pPr>
        <w:spacing w:line="360" w:lineRule="auto"/>
        <w:rPr>
          <w:rFonts w:hint="eastAsia" w:ascii="宋体" w:hAnsi="宋体"/>
          <w:b/>
          <w:szCs w:val="21"/>
        </w:rPr>
      </w:pPr>
      <w:r>
        <w:rPr>
          <w:rFonts w:hint="eastAsia" w:ascii="宋体" w:hAnsi="宋体"/>
          <w:b/>
          <w:szCs w:val="21"/>
        </w:rPr>
        <w:t>二、论述题</w:t>
      </w:r>
    </w:p>
    <w:p>
      <w:pPr>
        <w:pStyle w:val="5"/>
        <w:spacing w:line="360" w:lineRule="auto"/>
        <w:ind w:firstLine="0" w:firstLineChars="0"/>
        <w:rPr>
          <w:rFonts w:ascii="宋体" w:hAnsi="宋体"/>
          <w:szCs w:val="21"/>
        </w:rPr>
      </w:pPr>
      <w:r>
        <w:rPr>
          <w:rFonts w:hint="eastAsia" w:ascii="宋体" w:hAnsi="宋体"/>
          <w:szCs w:val="21"/>
        </w:rPr>
        <w:t>1.</w:t>
      </w:r>
      <w:r>
        <w:rPr>
          <w:rFonts w:hint="eastAsia" w:ascii="宋体" w:hAnsi="宋体"/>
          <w:bCs/>
          <w:szCs w:val="21"/>
        </w:rPr>
        <w:t>行政行为是指行政主体及其工作人员或者行政主体委托的组织或个人实施的产生行政法律效果的行为。行政行为的合法要件包括：（1）行政行为主体合法；（2）行政行为权限合法；（3）行政行为内容合法；（4）行政行为程序合法。</w:t>
      </w:r>
    </w:p>
    <w:p>
      <w:pPr>
        <w:spacing w:line="360" w:lineRule="auto"/>
        <w:rPr>
          <w:rFonts w:ascii="宋体" w:hAnsi="宋体"/>
          <w:bCs/>
          <w:szCs w:val="21"/>
        </w:rPr>
      </w:pPr>
      <w:r>
        <w:rPr>
          <w:rFonts w:hint="eastAsia" w:ascii="宋体" w:hAnsi="宋体"/>
          <w:szCs w:val="21"/>
        </w:rPr>
        <w:t>2.</w:t>
      </w:r>
      <w:r>
        <w:rPr>
          <w:rFonts w:hint="eastAsia" w:ascii="宋体" w:hAnsi="宋体"/>
          <w:bCs/>
          <w:szCs w:val="21"/>
        </w:rPr>
        <w:t>行政法是有关行政以及与行政有关的法律规范的总称。其特征包括：（1）行政法是国内公法；（2）行政法是政治性与技术性的统一法；（3）行政法既是控制法又是保障法；（4）行政法是具有“多元性”的法；（5）行政法是实体法与程序法的综合；（6）行政法是行为规范与裁判规范的统一。</w:t>
      </w:r>
    </w:p>
    <w:p>
      <w:pPr>
        <w:spacing w:line="360" w:lineRule="auto"/>
        <w:rPr>
          <w:rFonts w:hint="eastAsia" w:ascii="宋体" w:hAnsi="宋体"/>
          <w:b/>
          <w:szCs w:val="21"/>
        </w:rPr>
      </w:pPr>
      <w:r>
        <w:rPr>
          <w:rFonts w:hint="eastAsia" w:ascii="宋体" w:hAnsi="宋体"/>
          <w:b/>
          <w:szCs w:val="21"/>
        </w:rPr>
        <w:t>三、案例分析题</w:t>
      </w:r>
    </w:p>
    <w:p>
      <w:pPr>
        <w:shd w:val="clear" w:color="auto" w:fill="FFFFFF"/>
        <w:spacing w:line="360" w:lineRule="auto"/>
        <w:rPr>
          <w:rFonts w:ascii="宋体" w:hAnsi="宋体" w:cs="Arial"/>
          <w:color w:val="333333"/>
          <w:kern w:val="0"/>
          <w:szCs w:val="21"/>
        </w:rPr>
      </w:pPr>
      <w:r>
        <w:rPr>
          <w:rFonts w:hint="eastAsia" w:ascii="宋体" w:hAnsi="宋体"/>
          <w:szCs w:val="21"/>
        </w:rPr>
        <w:t>1.</w:t>
      </w:r>
      <w:r>
        <w:rPr>
          <w:rFonts w:ascii="宋体" w:hAnsi="宋体" w:cs="Arial"/>
          <w:color w:val="333333"/>
          <w:szCs w:val="21"/>
        </w:rPr>
        <w:t xml:space="preserve"> 违法建筑强制拆除程序</w:t>
      </w:r>
      <w:r>
        <w:rPr>
          <w:rFonts w:hint="eastAsia" w:ascii="宋体" w:hAnsi="宋体" w:cs="Arial"/>
          <w:color w:val="333333"/>
          <w:szCs w:val="21"/>
        </w:rPr>
        <w:t>：</w:t>
      </w:r>
      <w:r>
        <w:rPr>
          <w:rFonts w:ascii="宋体" w:hAnsi="宋体" w:cs="Arial"/>
          <w:color w:val="333333"/>
          <w:szCs w:val="21"/>
        </w:rPr>
        <w:t>限期自行拆除决定</w:t>
      </w:r>
      <w:r>
        <w:rPr>
          <w:rFonts w:hint="eastAsia" w:ascii="宋体" w:hAnsi="宋体" w:cs="Arial"/>
          <w:color w:val="333333"/>
          <w:szCs w:val="21"/>
        </w:rPr>
        <w:t>—催告—强制拆除决定—公告—拆除。</w:t>
      </w:r>
    </w:p>
    <w:p>
      <w:pPr>
        <w:spacing w:line="360" w:lineRule="auto"/>
        <w:rPr>
          <w:rFonts w:hint="eastAsia" w:ascii="宋体" w:hAnsi="宋体"/>
          <w:color w:val="000000"/>
          <w:szCs w:val="21"/>
        </w:rPr>
      </w:pPr>
      <w:r>
        <w:rPr>
          <w:rFonts w:hint="eastAsia" w:ascii="宋体" w:hAnsi="宋体"/>
          <w:szCs w:val="21"/>
        </w:rPr>
        <w:t xml:space="preserve">2. </w:t>
      </w:r>
      <w:r>
        <w:rPr>
          <w:rFonts w:hint="eastAsia" w:ascii="宋体" w:hAnsi="宋体"/>
          <w:color w:val="000000"/>
          <w:spacing w:val="7"/>
          <w:szCs w:val="21"/>
          <w:shd w:val="clear" w:color="auto" w:fill="FFFFFF"/>
        </w:rPr>
        <w:t>《中华人民共和国行政强制法》第四十四条规定，当事人在法定期限内不申请行政复议或者提起行政诉讼，又不拆除的，行政机关可以依法强制拆除。</w:t>
      </w:r>
      <w:r>
        <w:rPr>
          <w:rFonts w:hint="eastAsia" w:ascii="宋体" w:hAnsi="宋体"/>
          <w:szCs w:val="21"/>
        </w:rPr>
        <w:t>南宁经开区管委会</w:t>
      </w:r>
      <w:r>
        <w:rPr>
          <w:rFonts w:hint="eastAsia" w:ascii="宋体" w:hAnsi="宋体"/>
          <w:color w:val="333333"/>
          <w:szCs w:val="21"/>
          <w:shd w:val="clear" w:color="auto" w:fill="FFFFFF"/>
        </w:rPr>
        <w:t>违反行政强制法第四十四条规定，属于违反法定程序情形。依据《行政诉讼法》第七十四条第一款第（二）项，应确认强制拆除决定违法。</w:t>
      </w:r>
    </w:p>
    <w:p>
      <w:pPr>
        <w:spacing w:line="360" w:lineRule="auto"/>
        <w:rPr>
          <w:rFonts w:hint="eastAsia" w:ascii="宋体" w:hAnsi="宋体"/>
          <w:color w:val="000000"/>
          <w:szCs w:val="21"/>
        </w:rPr>
      </w:pPr>
      <w:r>
        <w:rPr>
          <w:rFonts w:hint="eastAsia" w:ascii="宋体" w:hAnsi="宋体"/>
          <w:szCs w:val="21"/>
        </w:rPr>
        <w:t>3. 南宁经开区管委会是南宁市人民政府的派出机构，是法律、法规授权的组织。</w:t>
      </w:r>
      <w:r>
        <w:rPr>
          <w:rFonts w:hint="eastAsia" w:ascii="宋体" w:hAnsi="宋体"/>
          <w:bCs/>
          <w:color w:val="000000"/>
          <w:szCs w:val="21"/>
        </w:rPr>
        <w:t>派出机关是依据《地方各级人民代表大会和地方各级人民政府组织法》的规定，由有权地方人民政府在一定行政区域内设立，代表设立机关管理该行政区域内各项行政事务的行政机构。派出机构是指根据部门行政法的规定设立并赋予行政职权的机构。</w:t>
      </w:r>
    </w:p>
    <w:p>
      <w:pPr>
        <w:rPr>
          <w:rFonts w:hint="default"/>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2468DD"/>
    <w:multiLevelType w:val="singleLevel"/>
    <w:tmpl w:val="3D2468D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41AD6A3F"/>
    <w:rsid w:val="0FDC7094"/>
    <w:rsid w:val="41AD6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2023-12-06T05:24:00Z</dcterms:created>
  <dc:creator>温岭育华徐老师18957602802</dc:creator>
  <cp:lastModifiedBy>温岭育华徐老师18957602802</cp:lastModifiedBy>
  <dcterms:modified xsi:type="dcterms:W3CDTF">2023-12-06T05:36:12Z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2D83D752CE3543149E38F7B37AAAD9E0_11</vt:lpwstr>
  </property>
</Properties>
</file>