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hint="default" w:eastAsia="宋体"/>
          <w:b/>
          <w:bCs/>
          <w:sz w:val="24"/>
          <w:lang w:val="en-US" w:eastAsia="zh-CN"/>
        </w:rPr>
      </w:pPr>
      <w:bookmarkStart w:id="0" w:name="_GoBack"/>
      <w:r>
        <w:rPr>
          <w:rFonts w:hint="eastAsia"/>
          <w:b/>
          <w:bCs/>
          <w:sz w:val="24"/>
        </w:rPr>
        <w:t>证券投资学</w:t>
      </w:r>
      <w:r>
        <w:rPr>
          <w:rFonts w:hint="eastAsia"/>
          <w:b/>
          <w:bCs/>
          <w:sz w:val="24"/>
          <w:lang w:val="en-US" w:eastAsia="zh-CN"/>
        </w:rPr>
        <w:t>复习资料</w:t>
      </w:r>
    </w:p>
    <w:bookmarkEnd w:id="0"/>
    <w:p>
      <w:pPr>
        <w:tabs>
          <w:tab w:val="left" w:pos="540"/>
        </w:tabs>
        <w:spacing w:before="312" w:beforeLines="100"/>
        <w:rPr>
          <w:rFonts w:ascii="黑体" w:hAnsi="黑体" w:eastAsia="黑体"/>
          <w:b/>
          <w:spacing w:val="16"/>
          <w:sz w:val="24"/>
        </w:rPr>
      </w:pPr>
      <w:r>
        <w:rPr>
          <w:rFonts w:hint="eastAsia" w:ascii="黑体" w:hAnsi="黑体" w:eastAsia="黑体"/>
          <w:b/>
          <w:spacing w:val="16"/>
          <w:sz w:val="24"/>
        </w:rPr>
        <w:t>一、选择题</w:t>
      </w:r>
    </w:p>
    <w:p>
      <w:pPr>
        <w:spacing w:line="400" w:lineRule="exact"/>
        <w:rPr>
          <w:rFonts w:ascii="宋体" w:hAnsi="宋体"/>
          <w:szCs w:val="21"/>
        </w:rPr>
      </w:pPr>
      <w:r>
        <w:rPr>
          <w:rFonts w:ascii="宋体" w:hAnsi="宋体"/>
          <w:szCs w:val="21"/>
        </w:rPr>
        <w:t>1</w:t>
      </w:r>
      <w:r>
        <w:rPr>
          <w:rFonts w:hint="eastAsia" w:ascii="宋体" w:hAnsi="宋体"/>
          <w:szCs w:val="21"/>
        </w:rPr>
        <w:t>．发行人在境外某国发行，但不以此国家的货币标值并还本付息的债券是（  ）</w:t>
      </w:r>
    </w:p>
    <w:p>
      <w:pPr>
        <w:spacing w:line="400" w:lineRule="exact"/>
        <w:ind w:firstLine="420" w:firstLineChars="200"/>
        <w:rPr>
          <w:rFonts w:ascii="宋体" w:hAnsi="宋体"/>
          <w:szCs w:val="21"/>
        </w:rPr>
      </w:pPr>
      <w:r>
        <w:rPr>
          <w:rFonts w:hint="eastAsia" w:ascii="宋体" w:hAnsi="宋体"/>
          <w:szCs w:val="21"/>
        </w:rPr>
        <w:t xml:space="preserve">A．日本债券               B．扬基债券    </w:t>
      </w:r>
    </w:p>
    <w:p>
      <w:pPr>
        <w:spacing w:line="400" w:lineRule="exact"/>
        <w:ind w:firstLine="420" w:firstLineChars="200"/>
        <w:rPr>
          <w:rFonts w:ascii="宋体" w:hAnsi="宋体"/>
          <w:szCs w:val="21"/>
        </w:rPr>
      </w:pPr>
      <w:r>
        <w:rPr>
          <w:rFonts w:hint="eastAsia" w:ascii="宋体" w:hAnsi="宋体"/>
          <w:szCs w:val="21"/>
        </w:rPr>
        <w:t>C．欧洲债券               D．外国债券</w:t>
      </w:r>
    </w:p>
    <w:p>
      <w:pPr>
        <w:spacing w:line="400" w:lineRule="exact"/>
        <w:rPr>
          <w:rFonts w:ascii="宋体" w:hAnsi="宋体" w:cs="Arial"/>
          <w:kern w:val="0"/>
          <w:szCs w:val="21"/>
          <w:lang w:eastAsia="zh-Hans"/>
        </w:rPr>
      </w:pPr>
      <w:r>
        <w:rPr>
          <w:rFonts w:ascii="宋体" w:hAnsi="宋体" w:cs="Arial"/>
          <w:kern w:val="0"/>
          <w:szCs w:val="21"/>
        </w:rPr>
        <w:t>2.</w:t>
      </w:r>
      <w:r>
        <w:rPr>
          <w:rFonts w:ascii="宋体" w:hAnsi="宋体" w:cs="Arial"/>
          <w:kern w:val="0"/>
          <w:szCs w:val="21"/>
        </w:rPr>
        <w:tab/>
      </w:r>
      <w:r>
        <w:rPr>
          <w:rFonts w:hint="eastAsia" w:ascii="宋体" w:hAnsi="宋体" w:cs="Arial"/>
          <w:kern w:val="0"/>
          <w:szCs w:val="21"/>
          <w:lang w:eastAsia="zh-Hans"/>
        </w:rPr>
        <w:t xml:space="preserve">以下风险最大的有价证券是（ </w:t>
      </w:r>
      <w:r>
        <w:rPr>
          <w:rFonts w:ascii="宋体" w:hAnsi="宋体" w:cs="Arial"/>
          <w:kern w:val="0"/>
          <w:szCs w:val="21"/>
          <w:lang w:eastAsia="zh-Hans"/>
        </w:rPr>
        <w:t>A</w:t>
      </w:r>
      <w:r>
        <w:rPr>
          <w:rFonts w:hint="eastAsia" w:ascii="宋体" w:hAnsi="宋体" w:cs="Arial"/>
          <w:kern w:val="0"/>
          <w:szCs w:val="21"/>
          <w:lang w:eastAsia="zh-Hans"/>
        </w:rPr>
        <w:t xml:space="preserve">  ）。</w:t>
      </w:r>
    </w:p>
    <w:p>
      <w:pPr>
        <w:snapToGrid w:val="0"/>
        <w:spacing w:line="400" w:lineRule="exact"/>
        <w:ind w:left="240" w:firstLine="180"/>
        <w:rPr>
          <w:rFonts w:ascii="宋体" w:hAnsi="宋体" w:cs="Arial"/>
          <w:kern w:val="0"/>
          <w:szCs w:val="21"/>
          <w:lang w:eastAsia="zh-Hans"/>
        </w:rPr>
      </w:pPr>
      <w:r>
        <w:rPr>
          <w:rFonts w:hint="eastAsia" w:ascii="宋体" w:hAnsi="宋体" w:cs="Arial"/>
          <w:kern w:val="0"/>
          <w:szCs w:val="21"/>
          <w:lang w:eastAsia="zh-Hans"/>
        </w:rPr>
        <w:t>A、股票    B、国债    C、基金凭证    D、金融债券</w:t>
      </w:r>
    </w:p>
    <w:p>
      <w:pPr>
        <w:spacing w:line="400" w:lineRule="exact"/>
        <w:rPr>
          <w:rFonts w:ascii="宋体" w:hAnsi="宋体"/>
          <w:szCs w:val="21"/>
        </w:rPr>
      </w:pPr>
      <w:r>
        <w:rPr>
          <w:rFonts w:ascii="宋体" w:hAnsi="宋体"/>
          <w:szCs w:val="21"/>
        </w:rPr>
        <w:t>3.</w:t>
      </w:r>
      <w:r>
        <w:rPr>
          <w:rFonts w:ascii="宋体" w:hAnsi="宋体"/>
          <w:szCs w:val="21"/>
        </w:rPr>
        <w:tab/>
      </w:r>
      <w:r>
        <w:rPr>
          <w:rFonts w:hint="eastAsia" w:ascii="宋体" w:hAnsi="宋体"/>
          <w:szCs w:val="21"/>
        </w:rPr>
        <w:t>下列不属于股东权利的是（ </w:t>
      </w:r>
      <w:r>
        <w:rPr>
          <w:rFonts w:ascii="宋体" w:hAnsi="宋体"/>
          <w:szCs w:val="21"/>
        </w:rPr>
        <w:t>D</w:t>
      </w:r>
      <w:r>
        <w:rPr>
          <w:rFonts w:hint="eastAsia" w:ascii="宋体" w:hAnsi="宋体"/>
          <w:szCs w:val="21"/>
        </w:rPr>
        <w:t xml:space="preserve"> ）</w:t>
      </w:r>
    </w:p>
    <w:p>
      <w:pPr>
        <w:spacing w:line="400" w:lineRule="exact"/>
        <w:ind w:firstLine="420"/>
        <w:rPr>
          <w:rFonts w:ascii="宋体" w:hAnsi="宋体"/>
          <w:szCs w:val="21"/>
        </w:rPr>
      </w:pPr>
      <w:r>
        <w:rPr>
          <w:rFonts w:hint="eastAsia" w:ascii="宋体" w:hAnsi="宋体"/>
          <w:szCs w:val="21"/>
        </w:rPr>
        <w:t xml:space="preserve">A、参与重大事项决策           B、转让股份 </w:t>
      </w:r>
    </w:p>
    <w:p>
      <w:pPr>
        <w:spacing w:line="400" w:lineRule="exact"/>
        <w:ind w:firstLine="420"/>
        <w:rPr>
          <w:rFonts w:ascii="宋体" w:hAnsi="宋体"/>
          <w:szCs w:val="21"/>
        </w:rPr>
      </w:pPr>
      <w:r>
        <w:rPr>
          <w:rFonts w:hint="eastAsia" w:ascii="宋体" w:hAnsi="宋体"/>
          <w:szCs w:val="21"/>
        </w:rPr>
        <w:t>C、享有股息分配               D、参与日常事务管理</w:t>
      </w:r>
    </w:p>
    <w:p>
      <w:pPr>
        <w:spacing w:line="400" w:lineRule="exact"/>
        <w:rPr>
          <w:rFonts w:ascii="宋体" w:hAnsi="宋体"/>
          <w:szCs w:val="21"/>
        </w:rPr>
      </w:pPr>
      <w:r>
        <w:rPr>
          <w:rFonts w:ascii="宋体" w:hAnsi="宋体"/>
          <w:szCs w:val="21"/>
        </w:rPr>
        <w:t>4.</w:t>
      </w:r>
      <w:r>
        <w:rPr>
          <w:rFonts w:ascii="宋体" w:hAnsi="宋体"/>
          <w:szCs w:val="21"/>
        </w:rPr>
        <w:tab/>
      </w:r>
      <w:r>
        <w:rPr>
          <w:rFonts w:ascii="宋体" w:hAnsi="宋体"/>
          <w:szCs w:val="21"/>
        </w:rPr>
        <w:t>开放式基金的交易价格取决于（</w:t>
      </w:r>
      <w:r>
        <w:rPr>
          <w:rFonts w:hint="eastAsia" w:ascii="宋体" w:hAnsi="宋体"/>
          <w:szCs w:val="21"/>
        </w:rPr>
        <w:t xml:space="preserve"> </w:t>
      </w:r>
      <w:r>
        <w:rPr>
          <w:rFonts w:ascii="宋体" w:hAnsi="宋体"/>
          <w:szCs w:val="21"/>
        </w:rPr>
        <w:t>B</w:t>
      </w:r>
      <w:r>
        <w:rPr>
          <w:rFonts w:hint="eastAsia" w:ascii="宋体" w:hAnsi="宋体"/>
          <w:szCs w:val="21"/>
        </w:rPr>
        <w:t xml:space="preserve"> </w:t>
      </w:r>
      <w:r>
        <w:rPr>
          <w:rFonts w:ascii="宋体" w:hAnsi="宋体"/>
          <w:szCs w:val="21"/>
        </w:rPr>
        <w:t>）</w:t>
      </w:r>
    </w:p>
    <w:p>
      <w:pPr>
        <w:spacing w:line="400" w:lineRule="exact"/>
        <w:ind w:firstLine="420"/>
        <w:rPr>
          <w:rFonts w:ascii="宋体" w:hAnsi="宋体"/>
          <w:szCs w:val="21"/>
        </w:rPr>
      </w:pPr>
      <w:r>
        <w:rPr>
          <w:rFonts w:ascii="宋体" w:hAnsi="宋体"/>
          <w:szCs w:val="21"/>
        </w:rPr>
        <w:t>A、基金总资产值</w:t>
      </w:r>
      <w:r>
        <w:rPr>
          <w:rFonts w:hint="eastAsia" w:ascii="宋体" w:hAnsi="宋体"/>
          <w:szCs w:val="21"/>
        </w:rPr>
        <w:t>　</w:t>
      </w:r>
      <w:r>
        <w:rPr>
          <w:rFonts w:ascii="宋体" w:hAnsi="宋体"/>
          <w:szCs w:val="21"/>
        </w:rPr>
        <w:t>  B、基金单位净资产值</w:t>
      </w:r>
      <w:r>
        <w:rPr>
          <w:rFonts w:hint="eastAsia" w:ascii="宋体" w:hAnsi="宋体"/>
          <w:szCs w:val="21"/>
        </w:rPr>
        <w:t>　</w:t>
      </w:r>
      <w:r>
        <w:rPr>
          <w:rFonts w:ascii="宋体" w:hAnsi="宋体"/>
          <w:szCs w:val="21"/>
        </w:rPr>
        <w:t> C、供求关系</w:t>
      </w:r>
      <w:r>
        <w:rPr>
          <w:rFonts w:hint="eastAsia" w:ascii="宋体" w:hAnsi="宋体"/>
          <w:szCs w:val="21"/>
        </w:rPr>
        <w:t>　</w:t>
      </w:r>
      <w:r>
        <w:rPr>
          <w:rFonts w:ascii="宋体" w:hAnsi="宋体"/>
          <w:szCs w:val="21"/>
        </w:rPr>
        <w:t> D、其他</w:t>
      </w:r>
    </w:p>
    <w:p>
      <w:pPr>
        <w:pStyle w:val="4"/>
        <w:spacing w:before="0" w:beforeAutospacing="0" w:after="0" w:afterAutospacing="0" w:line="400" w:lineRule="exact"/>
        <w:ind w:left="420" w:hanging="420"/>
        <w:jc w:val="both"/>
        <w:rPr>
          <w:rFonts w:cs="Arial"/>
          <w:sz w:val="21"/>
          <w:szCs w:val="21"/>
          <w:lang w:eastAsia="zh-Hans"/>
        </w:rPr>
      </w:pPr>
      <w:r>
        <w:rPr>
          <w:rFonts w:cs="Arial"/>
          <w:sz w:val="21"/>
          <w:szCs w:val="21"/>
          <w:lang w:eastAsia="zh-Hans"/>
        </w:rPr>
        <w:t>5.</w:t>
      </w:r>
      <w:r>
        <w:rPr>
          <w:rFonts w:cs="Arial"/>
          <w:sz w:val="21"/>
          <w:szCs w:val="21"/>
          <w:lang w:eastAsia="zh-Hans"/>
        </w:rPr>
        <w:tab/>
      </w:r>
      <w:r>
        <w:rPr>
          <w:rFonts w:cs="Arial"/>
          <w:sz w:val="21"/>
          <w:szCs w:val="21"/>
          <w:lang w:eastAsia="zh-Hans"/>
        </w:rPr>
        <w:t>行业经济活动是</w:t>
      </w:r>
      <w:r>
        <w:rPr>
          <w:rFonts w:hint="eastAsia" w:cs="Arial"/>
          <w:sz w:val="21"/>
          <w:szCs w:val="21"/>
        </w:rPr>
        <w:t xml:space="preserve">（ </w:t>
      </w:r>
      <w:r>
        <w:rPr>
          <w:rFonts w:cs="Arial"/>
          <w:sz w:val="21"/>
          <w:szCs w:val="21"/>
        </w:rPr>
        <w:t>B</w:t>
      </w:r>
      <w:r>
        <w:rPr>
          <w:rFonts w:hint="eastAsia" w:cs="Arial"/>
          <w:sz w:val="21"/>
          <w:szCs w:val="21"/>
        </w:rPr>
        <w:t xml:space="preserve"> ）</w:t>
      </w:r>
      <w:r>
        <w:rPr>
          <w:rFonts w:cs="Arial"/>
          <w:sz w:val="21"/>
          <w:szCs w:val="21"/>
          <w:lang w:eastAsia="zh-Hans"/>
        </w:rPr>
        <w:t>分析的主要对象之一。</w:t>
      </w:r>
    </w:p>
    <w:p>
      <w:pPr>
        <w:pStyle w:val="4"/>
        <w:spacing w:before="0" w:beforeAutospacing="0" w:after="0" w:afterAutospacing="0" w:line="400" w:lineRule="exact"/>
        <w:ind w:left="420"/>
        <w:jc w:val="both"/>
        <w:rPr>
          <w:rFonts w:cs="Arial"/>
          <w:sz w:val="21"/>
          <w:szCs w:val="21"/>
          <w:lang w:eastAsia="zh-Hans"/>
        </w:rPr>
      </w:pPr>
      <w:r>
        <w:rPr>
          <w:rFonts w:cs="Arial"/>
          <w:sz w:val="21"/>
          <w:szCs w:val="21"/>
          <w:lang w:eastAsia="zh-Hans"/>
        </w:rPr>
        <w:t>A</w:t>
      </w:r>
      <w:r>
        <w:rPr>
          <w:rFonts w:hint="eastAsia" w:cs="Arial"/>
          <w:sz w:val="21"/>
          <w:szCs w:val="21"/>
          <w:lang w:eastAsia="zh-Hans"/>
        </w:rPr>
        <w:t>、</w:t>
      </w:r>
      <w:r>
        <w:rPr>
          <w:rFonts w:cs="Arial"/>
          <w:sz w:val="21"/>
          <w:szCs w:val="21"/>
          <w:lang w:eastAsia="zh-Hans"/>
        </w:rPr>
        <w:t>微观经济</w:t>
      </w:r>
      <w:r>
        <w:rPr>
          <w:rFonts w:hint="eastAsia" w:cs="Arial"/>
          <w:sz w:val="21"/>
          <w:szCs w:val="21"/>
          <w:lang w:eastAsia="zh-Hans"/>
        </w:rPr>
        <w:t xml:space="preserve">    </w:t>
      </w:r>
      <w:r>
        <w:rPr>
          <w:rFonts w:cs="Arial"/>
          <w:sz w:val="21"/>
          <w:szCs w:val="21"/>
          <w:lang w:eastAsia="zh-Hans"/>
        </w:rPr>
        <w:t xml:space="preserve"> B</w:t>
      </w:r>
      <w:r>
        <w:rPr>
          <w:rFonts w:hint="eastAsia" w:cs="Arial"/>
          <w:sz w:val="21"/>
          <w:szCs w:val="21"/>
          <w:lang w:eastAsia="zh-Hans"/>
        </w:rPr>
        <w:t>、</w:t>
      </w:r>
      <w:r>
        <w:rPr>
          <w:rFonts w:cs="Arial"/>
          <w:sz w:val="21"/>
          <w:szCs w:val="21"/>
          <w:lang w:eastAsia="zh-Hans"/>
        </w:rPr>
        <w:t>中观经济</w:t>
      </w:r>
      <w:r>
        <w:rPr>
          <w:rFonts w:hint="eastAsia" w:cs="Arial"/>
          <w:sz w:val="21"/>
          <w:szCs w:val="21"/>
          <w:lang w:eastAsia="zh-Hans"/>
        </w:rPr>
        <w:t xml:space="preserve">    </w:t>
      </w:r>
      <w:r>
        <w:rPr>
          <w:rFonts w:cs="Arial"/>
          <w:sz w:val="21"/>
          <w:szCs w:val="21"/>
          <w:lang w:eastAsia="zh-Hans"/>
        </w:rPr>
        <w:t>C</w:t>
      </w:r>
      <w:r>
        <w:rPr>
          <w:rFonts w:hint="eastAsia" w:cs="Arial"/>
          <w:sz w:val="21"/>
          <w:szCs w:val="21"/>
          <w:lang w:eastAsia="zh-Hans"/>
        </w:rPr>
        <w:t>、</w:t>
      </w:r>
      <w:r>
        <w:rPr>
          <w:rFonts w:cs="Arial"/>
          <w:sz w:val="21"/>
          <w:szCs w:val="21"/>
          <w:lang w:eastAsia="zh-Hans"/>
        </w:rPr>
        <w:t xml:space="preserve">宏观经济 </w:t>
      </w:r>
      <w:r>
        <w:rPr>
          <w:rFonts w:hint="eastAsia" w:cs="Arial"/>
          <w:sz w:val="21"/>
          <w:szCs w:val="21"/>
          <w:lang w:eastAsia="zh-Hans"/>
        </w:rPr>
        <w:t xml:space="preserve">    </w:t>
      </w:r>
      <w:r>
        <w:rPr>
          <w:rFonts w:cs="Arial"/>
          <w:sz w:val="21"/>
          <w:szCs w:val="21"/>
          <w:lang w:eastAsia="zh-Hans"/>
        </w:rPr>
        <w:t>D</w:t>
      </w:r>
      <w:r>
        <w:rPr>
          <w:rFonts w:hint="eastAsia" w:cs="Arial"/>
          <w:sz w:val="21"/>
          <w:szCs w:val="21"/>
          <w:lang w:eastAsia="zh-Hans"/>
        </w:rPr>
        <w:t>、</w:t>
      </w:r>
      <w:r>
        <w:rPr>
          <w:rFonts w:cs="Arial"/>
          <w:sz w:val="21"/>
          <w:szCs w:val="21"/>
          <w:lang w:eastAsia="zh-Hans"/>
        </w:rPr>
        <w:t>市场</w:t>
      </w:r>
    </w:p>
    <w:p>
      <w:pPr>
        <w:rPr>
          <w:rFonts w:ascii="黑体" w:hAnsi="黑体" w:eastAsia="黑体"/>
          <w:b/>
          <w:sz w:val="24"/>
        </w:rPr>
      </w:pPr>
      <w:r>
        <w:rPr>
          <w:rFonts w:hint="eastAsia" w:ascii="黑体" w:hAnsi="黑体" w:eastAsia="黑体"/>
          <w:b/>
          <w:sz w:val="24"/>
        </w:rPr>
        <w:t>二、名词解释</w:t>
      </w:r>
    </w:p>
    <w:p>
      <w:pPr>
        <w:spacing w:line="400" w:lineRule="exact"/>
        <w:rPr>
          <w:rFonts w:hint="eastAsia" w:eastAsia="宋体"/>
          <w:lang w:eastAsia="zh-CN"/>
        </w:rPr>
      </w:pPr>
      <w:r>
        <w:t>1.</w:t>
      </w:r>
      <w:r>
        <w:tab/>
      </w:r>
      <w:r>
        <w:rPr>
          <w:rFonts w:hint="eastAsia"/>
        </w:rPr>
        <w:t>直接投资</w:t>
      </w:r>
      <w:r>
        <w:rPr>
          <w:rFonts w:hint="eastAsia"/>
          <w:lang w:eastAsia="zh-CN"/>
        </w:rPr>
        <w:t>：</w:t>
      </w:r>
    </w:p>
    <w:p>
      <w:pPr>
        <w:spacing w:line="400" w:lineRule="exact"/>
      </w:pPr>
    </w:p>
    <w:p>
      <w:pPr>
        <w:spacing w:line="400" w:lineRule="exact"/>
      </w:pPr>
      <w:r>
        <w:t>2.</w:t>
      </w:r>
      <w:r>
        <w:tab/>
      </w:r>
      <w:r>
        <w:rPr>
          <w:rFonts w:hint="eastAsia"/>
        </w:rPr>
        <w:t>开放型基金</w:t>
      </w:r>
    </w:p>
    <w:p>
      <w:pPr>
        <w:spacing w:line="400" w:lineRule="exact"/>
        <w:ind w:left="420"/>
        <w:rPr>
          <w:color w:val="4472C4" w:themeColor="accent1"/>
          <w14:textFill>
            <w14:solidFill>
              <w14:schemeClr w14:val="accent1"/>
            </w14:solidFill>
          </w14:textFill>
        </w:rPr>
      </w:pPr>
      <w:r>
        <w:rPr>
          <w:rFonts w:hint="eastAsia"/>
          <w:color w:val="4472C4" w:themeColor="accent1"/>
          <w14:textFill>
            <w14:solidFill>
              <w14:schemeClr w14:val="accent1"/>
            </w14:solidFill>
          </w14:textFill>
        </w:rPr>
        <w:t>开放式基金（Open-end Funds）又称共同基金,是指基金发起人在设立基金时，基金单位或者股份总规模不固定，可视投资者的需求，随时向投资者出售基金单位或者股份，并可以应投资者的要求赎回发行在外的基金单位或者股份的一种基金运作方式。投资者既可以通过基金销售机构购买基金使得基金资产和规模由此相应的增加，也可以将所持有的基金份额卖给基金并收回现金使得基金资产和规模相应的减少。</w:t>
      </w:r>
    </w:p>
    <w:p>
      <w:pPr>
        <w:spacing w:line="400" w:lineRule="exact"/>
      </w:pPr>
      <w:r>
        <w:t>3</w:t>
      </w:r>
      <w:r>
        <w:rPr>
          <w:rFonts w:hint="eastAsia"/>
        </w:rPr>
        <w:t>.</w:t>
      </w:r>
      <w:r>
        <w:tab/>
      </w:r>
      <w:r>
        <w:rPr>
          <w:rFonts w:hint="eastAsia"/>
        </w:rPr>
        <w:t>平仓</w:t>
      </w:r>
    </w:p>
    <w:p>
      <w:pPr>
        <w:spacing w:line="400" w:lineRule="exact"/>
        <w:ind w:firstLine="420"/>
      </w:pPr>
      <w:r>
        <w:rPr>
          <w:rFonts w:hint="eastAsia"/>
          <w:color w:val="4472C4" w:themeColor="accent1"/>
          <w14:textFill>
            <w14:solidFill>
              <w14:schemeClr w14:val="accent1"/>
            </w14:solidFill>
          </w14:textFill>
        </w:rPr>
        <w:t>平仓是在股票交易中，多头将所买进的股票卖出，或空头买回所卖出股票行为的统称。</w:t>
      </w:r>
    </w:p>
    <w:p>
      <w:pPr>
        <w:spacing w:line="400" w:lineRule="exact"/>
      </w:pPr>
      <w:r>
        <w:t>4.</w:t>
      </w:r>
      <w:r>
        <w:tab/>
      </w:r>
      <w:r>
        <w:rPr>
          <w:rFonts w:hint="eastAsia"/>
        </w:rPr>
        <w:t>市盈率</w:t>
      </w:r>
    </w:p>
    <w:p>
      <w:pPr>
        <w:spacing w:line="400" w:lineRule="exact"/>
        <w:ind w:left="420"/>
        <w:rPr>
          <w:color w:val="4472C4" w:themeColor="accent1"/>
          <w14:textFill>
            <w14:solidFill>
              <w14:schemeClr w14:val="accent1"/>
            </w14:solidFill>
          </w14:textFill>
        </w:rPr>
      </w:pPr>
      <w:r>
        <w:rPr>
          <w:rFonts w:hint="eastAsia"/>
          <w:color w:val="4472C4" w:themeColor="accent1"/>
          <w14:textFill>
            <w14:solidFill>
              <w14:schemeClr w14:val="accent1"/>
            </w14:solidFill>
          </w14:textFill>
        </w:rPr>
        <w:t>市盈率（Price Earnings Ratio，简称P/E或PER），也称“本益比”、“股价收益比率”或“市价盈利比率（简称市盈率）”。市盈率是指股票价格除以每股收益(每股收益,EPS)的比率。或以公司市值除以年度股东应占溢利。</w:t>
      </w:r>
    </w:p>
    <w:p>
      <w:pPr>
        <w:spacing w:line="400" w:lineRule="exact"/>
      </w:pPr>
      <w:r>
        <w:t>5.</w:t>
      </w:r>
      <w:r>
        <w:tab/>
      </w:r>
      <w:r>
        <w:rPr>
          <w:rFonts w:hint="eastAsia"/>
        </w:rPr>
        <w:t>强式有效市场</w:t>
      </w:r>
    </w:p>
    <w:p>
      <w:pPr>
        <w:spacing w:line="400" w:lineRule="exact"/>
        <w:ind w:left="420"/>
        <w:rPr>
          <w:color w:val="4472C4" w:themeColor="accent1"/>
          <w14:textFill>
            <w14:solidFill>
              <w14:schemeClr w14:val="accent1"/>
            </w14:solidFill>
          </w14:textFill>
        </w:rPr>
      </w:pPr>
      <w:r>
        <w:rPr>
          <w:rFonts w:hint="eastAsia"/>
          <w:color w:val="4472C4" w:themeColor="accent1"/>
          <w14:textFill>
            <w14:solidFill>
              <w14:schemeClr w14:val="accent1"/>
            </w14:solidFill>
          </w14:textFill>
        </w:rPr>
        <w:t>强式有效市场假说认为证券价格完全地反映一切公开的和非公开的信息。投资者即使掌握内幕信息也无法获得额外盈利。</w:t>
      </w:r>
    </w:p>
    <w:p>
      <w:pPr>
        <w:rPr>
          <w:rFonts w:hint="eastAsia" w:ascii="黑体" w:hAnsi="黑体" w:eastAsia="黑体"/>
          <w:b/>
          <w:spacing w:val="16"/>
          <w:sz w:val="24"/>
        </w:rPr>
      </w:pPr>
      <w:r>
        <w:rPr>
          <w:rFonts w:hint="eastAsia" w:ascii="黑体" w:hAnsi="黑体" w:eastAsia="黑体"/>
          <w:b/>
          <w:spacing w:val="16"/>
          <w:sz w:val="24"/>
        </w:rPr>
        <w:br w:type="page"/>
      </w:r>
    </w:p>
    <w:p>
      <w:pPr>
        <w:tabs>
          <w:tab w:val="left" w:pos="540"/>
        </w:tabs>
        <w:spacing w:before="312" w:beforeLines="100"/>
        <w:rPr>
          <w:rFonts w:ascii="黑体" w:hAnsi="黑体" w:eastAsia="黑体"/>
          <w:b/>
          <w:spacing w:val="16"/>
          <w:sz w:val="24"/>
        </w:rPr>
      </w:pPr>
      <w:r>
        <w:rPr>
          <w:rFonts w:hint="eastAsia" w:ascii="黑体" w:hAnsi="黑体" w:eastAsia="黑体"/>
          <w:b/>
          <w:spacing w:val="16"/>
          <w:sz w:val="24"/>
        </w:rPr>
        <w:t>三、问答题</w:t>
      </w:r>
    </w:p>
    <w:p>
      <w:r>
        <w:t>1.</w:t>
      </w:r>
      <w:r>
        <w:tab/>
      </w:r>
      <w:r>
        <w:rPr>
          <w:rFonts w:hint="eastAsia"/>
        </w:rPr>
        <w:t>投资有哪些要素？投资者的目标是什么？</w:t>
      </w:r>
    </w:p>
    <w:p>
      <w:pPr>
        <w:ind w:firstLine="420"/>
        <w:rPr>
          <w:color w:val="4472C4" w:themeColor="accent1"/>
          <w14:textFill>
            <w14:solidFill>
              <w14:schemeClr w14:val="accent1"/>
            </w14:solidFill>
          </w14:textFill>
        </w:rPr>
      </w:pPr>
      <w:r>
        <w:rPr>
          <w:rFonts w:hint="eastAsia"/>
          <w:color w:val="4472C4" w:themeColor="accent1"/>
          <w14:textFill>
            <w14:solidFill>
              <w14:schemeClr w14:val="accent1"/>
            </w14:solidFill>
          </w14:textFill>
        </w:rPr>
        <w:t>答题要点：</w:t>
      </w:r>
    </w:p>
    <w:p>
      <w:pPr>
        <w:rPr>
          <w:color w:val="4472C4" w:themeColor="accent1"/>
          <w14:textFill>
            <w14:solidFill>
              <w14:schemeClr w14:val="accent1"/>
            </w14:solidFill>
          </w14:textFill>
        </w:rPr>
      </w:pPr>
      <w:r>
        <w:rPr>
          <w:color w:val="4472C4" w:themeColor="accent1"/>
          <w14:textFill>
            <w14:solidFill>
              <w14:schemeClr w14:val="accent1"/>
            </w14:solidFill>
          </w14:textFill>
        </w:rPr>
        <w:tab/>
      </w:r>
      <w:r>
        <w:rPr>
          <w:rFonts w:hint="eastAsia"/>
          <w:color w:val="4472C4" w:themeColor="accent1"/>
          <w14:textFill>
            <w14:solidFill>
              <w14:schemeClr w14:val="accent1"/>
            </w14:solidFill>
          </w14:textFill>
        </w:rPr>
        <w:t>投资三要素包括投资收益、投资时间和投资风险</w:t>
      </w:r>
    </w:p>
    <w:p>
      <w:pPr>
        <w:ind w:left="420" w:hanging="420" w:hangingChars="200"/>
        <w:rPr>
          <w:color w:val="4472C4" w:themeColor="accent1"/>
          <w14:textFill>
            <w14:solidFill>
              <w14:schemeClr w14:val="accent1"/>
            </w14:solidFill>
          </w14:textFill>
        </w:rPr>
      </w:pPr>
      <w:r>
        <w:rPr>
          <w:color w:val="4472C4" w:themeColor="accent1"/>
          <w14:textFill>
            <w14:solidFill>
              <w14:schemeClr w14:val="accent1"/>
            </w14:solidFill>
          </w14:textFill>
        </w:rPr>
        <w:tab/>
      </w:r>
      <w:r>
        <w:rPr>
          <w:rFonts w:hint="eastAsia"/>
          <w:color w:val="4472C4" w:themeColor="accent1"/>
          <w14:textFill>
            <w14:solidFill>
              <w14:schemeClr w14:val="accent1"/>
            </w14:solidFill>
          </w14:textFill>
        </w:rPr>
        <w:t>投资者的目标不仅是取得最大化利润或收益，作为理性投资者，其目标是在收益和风险之间进行权衡，在给定风险的前提下实现收益最大，或者给定风险的条件下使得风险最小。</w:t>
      </w:r>
    </w:p>
    <w:p>
      <w:r>
        <w:t>2.</w:t>
      </w:r>
      <w:r>
        <w:tab/>
      </w:r>
      <w:r>
        <w:rPr>
          <w:rFonts w:hint="eastAsia"/>
        </w:rPr>
        <w:t>简单算术平均法构建股票市场指数有什么优缺点？</w:t>
      </w:r>
    </w:p>
    <w:p>
      <w:pPr>
        <w:ind w:left="420"/>
        <w:rPr>
          <w:color w:val="4472C4" w:themeColor="accent1"/>
          <w14:textFill>
            <w14:solidFill>
              <w14:schemeClr w14:val="accent1"/>
            </w14:solidFill>
          </w14:textFill>
        </w:rPr>
      </w:pPr>
      <w:r>
        <w:rPr>
          <w:rFonts w:hint="eastAsia"/>
          <w:color w:val="4472C4" w:themeColor="accent1"/>
          <w14:textFill>
            <w14:solidFill>
              <w14:schemeClr w14:val="accent1"/>
            </w14:solidFill>
          </w14:textFill>
        </w:rPr>
        <w:t>答题要点：</w:t>
      </w:r>
    </w:p>
    <w:p>
      <w:pPr>
        <w:ind w:left="420"/>
        <w:rPr>
          <w:color w:val="4472C4" w:themeColor="accent1"/>
          <w14:textFill>
            <w14:solidFill>
              <w14:schemeClr w14:val="accent1"/>
            </w14:solidFill>
          </w14:textFill>
        </w:rPr>
      </w:pPr>
      <w:r>
        <w:rPr>
          <w:rFonts w:hint="eastAsia"/>
          <w:color w:val="4472C4" w:themeColor="accent1"/>
          <w14:textFill>
            <w14:solidFill>
              <w14:schemeClr w14:val="accent1"/>
            </w14:solidFill>
          </w14:textFill>
        </w:rPr>
        <w:t>简单算术平均法就是将样本的股价进行加总，再除以股票的样本数。这种算法十分简单，含义非常明确，股价指数就是所有样本股票的平均市场价格。其缺点主要表现在两个方面，第一，当发生股票分割，分红，除权，除息时，股票价格产生较大变化，对股价指数影响较大，影响指数的连续性和可比性，使计算出来的指数值与实际市场走势之间产生偏差，必须进行修正。第二，股价高的股票权重较大，对股价指数走势影响较大，可能会导致指数值与实际市场走势偏离。</w:t>
      </w:r>
    </w:p>
    <w:p>
      <w:r>
        <w:t>3.</w:t>
      </w:r>
      <w:r>
        <w:tab/>
      </w:r>
      <w:r>
        <w:rPr>
          <w:rFonts w:hint="eastAsia"/>
        </w:rPr>
        <w:t>简述股价指数的功能。</w:t>
      </w:r>
    </w:p>
    <w:p>
      <w:pPr>
        <w:tabs>
          <w:tab w:val="left" w:pos="540"/>
        </w:tabs>
        <w:spacing w:before="312" w:beforeLines="100"/>
        <w:rPr>
          <w:rFonts w:hint="eastAsia" w:ascii="黑体" w:hAnsi="黑体" w:eastAsia="黑体"/>
          <w:b/>
          <w:spacing w:val="16"/>
          <w:sz w:val="24"/>
        </w:rPr>
      </w:pPr>
    </w:p>
    <w:p>
      <w:pPr>
        <w:tabs>
          <w:tab w:val="left" w:pos="540"/>
        </w:tabs>
        <w:spacing w:before="312" w:beforeLines="100"/>
        <w:rPr>
          <w:rFonts w:ascii="黑体" w:hAnsi="黑体" w:eastAsia="黑体"/>
          <w:b/>
          <w:spacing w:val="16"/>
          <w:sz w:val="24"/>
        </w:rPr>
      </w:pPr>
      <w:r>
        <w:rPr>
          <w:rFonts w:hint="eastAsia" w:ascii="黑体" w:hAnsi="黑体" w:eastAsia="黑体"/>
          <w:b/>
          <w:spacing w:val="16"/>
          <w:sz w:val="24"/>
        </w:rPr>
        <w:t>四、计算题</w:t>
      </w:r>
    </w:p>
    <w:p>
      <w:pPr>
        <w:ind w:left="420" w:hanging="420" w:hangingChars="200"/>
      </w:pPr>
      <w:r>
        <w:rPr>
          <w:rFonts w:hint="eastAsia"/>
        </w:rPr>
        <w:t>1</w:t>
      </w:r>
      <w:r>
        <w:t>.</w:t>
      </w:r>
      <w:r>
        <w:tab/>
      </w:r>
      <w:r>
        <w:rPr>
          <w:rFonts w:hint="eastAsia"/>
        </w:rPr>
        <w:t>投资者2</w:t>
      </w:r>
      <w:r>
        <w:t>018</w:t>
      </w:r>
      <w:r>
        <w:rPr>
          <w:rFonts w:hint="eastAsia"/>
        </w:rPr>
        <w:t>年2月2</w:t>
      </w:r>
      <w:r>
        <w:t>5</w:t>
      </w:r>
      <w:r>
        <w:rPr>
          <w:rFonts w:hint="eastAsia"/>
        </w:rPr>
        <w:t>日以2</w:t>
      </w:r>
      <w:r>
        <w:t>0</w:t>
      </w:r>
      <w:r>
        <w:rPr>
          <w:rFonts w:hint="eastAsia"/>
        </w:rPr>
        <w:t>元价格买入1</w:t>
      </w:r>
      <w:r>
        <w:t>000</w:t>
      </w:r>
      <w:r>
        <w:rPr>
          <w:rFonts w:hint="eastAsia"/>
        </w:rPr>
        <w:t>股股票</w:t>
      </w:r>
      <w:r>
        <w:t>ABC</w:t>
      </w:r>
      <w:r>
        <w:rPr>
          <w:rFonts w:hint="eastAsia"/>
        </w:rPr>
        <w:t>，该股已公布分配方案为每1</w:t>
      </w:r>
      <w:r>
        <w:t>0</w:t>
      </w:r>
      <w:r>
        <w:rPr>
          <w:rFonts w:hint="eastAsia"/>
        </w:rPr>
        <w:t>股派息3元。该股票4月2</w:t>
      </w:r>
      <w:r>
        <w:t>0</w:t>
      </w:r>
      <w:r>
        <w:rPr>
          <w:rFonts w:hint="eastAsia"/>
        </w:rPr>
        <w:t>日派息，该投资者参与全部股利分配，并于4月</w:t>
      </w:r>
      <w:r>
        <w:t>30</w:t>
      </w:r>
      <w:r>
        <w:rPr>
          <w:rFonts w:hint="eastAsia"/>
        </w:rPr>
        <w:t>日以每股2</w:t>
      </w:r>
      <w:r>
        <w:t>1</w:t>
      </w:r>
      <w:r>
        <w:rPr>
          <w:rFonts w:hint="eastAsia"/>
        </w:rPr>
        <w:t>元价格卖出股票。若不计交易成本，该投资者此次投资的持有期收益率是多少？</w:t>
      </w:r>
    </w:p>
    <w:p>
      <w:pPr>
        <w:ind w:left="420"/>
      </w:pPr>
      <w:r>
        <w:rPr>
          <w:rFonts w:hint="eastAsia"/>
        </w:rPr>
        <w:t>答题要点：</w:t>
      </w:r>
    </w:p>
    <w:p>
      <w:pPr>
        <w:ind w:left="420" w:hanging="420" w:hangingChars="200"/>
      </w:pPr>
      <w:r>
        <w:tab/>
      </w:r>
      <w:r>
        <w:rPr>
          <w:position w:val="-66"/>
        </w:rPr>
        <w:object>
          <v:shape id="_x0000_i1026" o:spt="75" type="#_x0000_t75" style="height:72pt;width:274.05pt;" o:ole="t" filled="f" o:preferrelative="t" stroked="f" coordsize="21600,21600">
            <v:path/>
            <v:fill on="f" focussize="0,0"/>
            <v:stroke on="f" joinstyle="miter"/>
            <v:imagedata r:id="rId5" o:title=""/>
            <o:lock v:ext="edit" aspectratio="t"/>
            <w10:wrap type="none"/>
            <w10:anchorlock/>
          </v:shape>
          <o:OLEObject Type="Embed" ProgID="Equation.DSMT4" ShapeID="_x0000_i1026" DrawAspect="Content" ObjectID="_1468075725" r:id="rId4">
            <o:LockedField>false</o:LockedField>
          </o:OLEObject>
        </w:object>
      </w:r>
    </w:p>
    <w:p>
      <w:pPr>
        <w:ind w:left="420" w:hanging="420" w:hangingChars="200"/>
      </w:pPr>
    </w:p>
    <w:p>
      <w:pPr>
        <w:ind w:left="420" w:hanging="420" w:hangingChars="200"/>
      </w:pPr>
      <w:r>
        <w:t>2.</w:t>
      </w:r>
      <w:r>
        <w:rPr>
          <w:rFonts w:hint="eastAsia"/>
        </w:rPr>
        <w:t xml:space="preserve"> </w:t>
      </w:r>
      <w:r>
        <w:tab/>
      </w:r>
      <w:r>
        <w:rPr>
          <w:rFonts w:hint="eastAsia"/>
        </w:rPr>
        <w:t>当前A股票价格为10元，假设某投资者预期股票价格下跌，想通过融券的方式做空这只股票。假设当前你自有账户中有1000元现金，并且融券的初始保证金比例为50%。 （1）该投资者通过融券总共可以借入多少数量的A股票？（2）假设股票价格上涨10%（11元），该投资收益率为多少？（3）假设融券维持保证金比例为30%，那么股票价格涨到多少时，投资者将收到保证金催缴通知？</w:t>
      </w:r>
    </w:p>
    <w:p>
      <w:pPr>
        <w:ind w:left="842" w:leftChars="200" w:hanging="422" w:hangingChars="200"/>
        <w:rPr>
          <w:b/>
          <w:bCs/>
          <w:color w:val="4472C4" w:themeColor="accent1"/>
          <w14:textFill>
            <w14:solidFill>
              <w14:schemeClr w14:val="accent1"/>
            </w14:solidFill>
          </w14:textFill>
        </w:rPr>
      </w:pPr>
      <w:r>
        <w:rPr>
          <w:rFonts w:hint="eastAsia"/>
          <w:b/>
          <w:bCs/>
          <w:color w:val="4472C4" w:themeColor="accent1"/>
          <w14:textFill>
            <w14:solidFill>
              <w14:schemeClr w14:val="accent1"/>
            </w14:solidFill>
          </w14:textFill>
        </w:rPr>
        <w:t>答题要点:</w:t>
      </w:r>
    </w:p>
    <w:p>
      <w:pPr>
        <w:ind w:left="842" w:leftChars="200" w:hanging="422" w:hangingChars="200"/>
        <w:rPr>
          <w:b/>
          <w:bCs/>
          <w:color w:val="4472C4" w:themeColor="accent1"/>
          <w14:textFill>
            <w14:solidFill>
              <w14:schemeClr w14:val="accent1"/>
            </w14:solidFill>
          </w14:textFill>
        </w:rPr>
      </w:pPr>
      <w:r>
        <w:rPr>
          <w:rFonts w:hint="eastAsia"/>
          <w:b/>
          <w:bCs/>
          <w:color w:val="4472C4" w:themeColor="accent1"/>
          <w14:textFill>
            <w14:solidFill>
              <w14:schemeClr w14:val="accent1"/>
            </w14:solidFill>
          </w14:textFill>
        </w:rPr>
        <w:t>（1）假设可以借入股票数量为X</w:t>
      </w:r>
    </w:p>
    <w:p>
      <w:pPr>
        <w:ind w:left="842" w:leftChars="200" w:hanging="422" w:hangingChars="200"/>
        <w:rPr>
          <w:b/>
          <w:bCs/>
          <w:color w:val="4472C4" w:themeColor="accent1"/>
          <w14:textFill>
            <w14:solidFill>
              <w14:schemeClr w14:val="accent1"/>
            </w14:solidFill>
          </w14:textFill>
        </w:rPr>
      </w:pPr>
      <w:r>
        <w:rPr>
          <w:rFonts w:hint="eastAsia"/>
          <w:b/>
          <w:bCs/>
          <w:color w:val="4472C4" w:themeColor="accent1"/>
          <w14:textFill>
            <w14:solidFill>
              <w14:schemeClr w14:val="accent1"/>
            </w14:solidFill>
          </w14:textFill>
        </w:rPr>
        <w:tab/>
      </w:r>
      <w:r>
        <w:rPr>
          <w:rFonts w:hint="eastAsia"/>
          <w:b/>
          <w:bCs/>
          <w:color w:val="4472C4" w:themeColor="accent1"/>
          <w14:textFill>
            <w14:solidFill>
              <w14:schemeClr w14:val="accent1"/>
            </w14:solidFill>
          </w14:textFill>
        </w:rPr>
        <w:t>保证金比例=权益价值/所欠股票价值=1000/10X=50%</w:t>
      </w:r>
    </w:p>
    <w:p>
      <w:pPr>
        <w:ind w:left="842" w:leftChars="200" w:hanging="422" w:hangingChars="200"/>
        <w:rPr>
          <w:b/>
          <w:bCs/>
          <w:color w:val="4472C4" w:themeColor="accent1"/>
          <w14:textFill>
            <w14:solidFill>
              <w14:schemeClr w14:val="accent1"/>
            </w14:solidFill>
          </w14:textFill>
        </w:rPr>
      </w:pPr>
      <w:r>
        <w:rPr>
          <w:rFonts w:hint="eastAsia"/>
          <w:b/>
          <w:bCs/>
          <w:color w:val="4472C4" w:themeColor="accent1"/>
          <w14:textFill>
            <w14:solidFill>
              <w14:schemeClr w14:val="accent1"/>
            </w14:solidFill>
          </w14:textFill>
        </w:rPr>
        <w:tab/>
      </w:r>
      <w:r>
        <w:rPr>
          <w:rFonts w:hint="eastAsia"/>
          <w:b/>
          <w:bCs/>
          <w:color w:val="4472C4" w:themeColor="accent1"/>
          <w14:textFill>
            <w14:solidFill>
              <w14:schemeClr w14:val="accent1"/>
            </w14:solidFill>
          </w14:textFill>
        </w:rPr>
        <w:t>解得：X=200</w:t>
      </w:r>
    </w:p>
    <w:p>
      <w:pPr>
        <w:ind w:left="842" w:leftChars="200" w:hanging="422" w:hangingChars="200"/>
        <w:rPr>
          <w:b/>
          <w:bCs/>
          <w:color w:val="4472C4" w:themeColor="accent1"/>
          <w14:textFill>
            <w14:solidFill>
              <w14:schemeClr w14:val="accent1"/>
            </w14:solidFill>
          </w14:textFill>
        </w:rPr>
      </w:pPr>
      <w:r>
        <w:rPr>
          <w:rFonts w:hint="eastAsia"/>
          <w:b/>
          <w:bCs/>
          <w:color w:val="4472C4" w:themeColor="accent1"/>
          <w14:textFill>
            <w14:solidFill>
              <w14:schemeClr w14:val="accent1"/>
            </w14:solidFill>
          </w14:textFill>
        </w:rPr>
        <w:t>（2）期末权益价值为：3000-200*11=800，投资收益为：(800-1000)/1000=-20%</w:t>
      </w:r>
    </w:p>
    <w:p>
      <w:pPr>
        <w:ind w:left="842" w:leftChars="200" w:hanging="422" w:hangingChars="200"/>
        <w:rPr>
          <w:b/>
          <w:bCs/>
          <w:color w:val="4472C4" w:themeColor="accent1"/>
          <w14:textFill>
            <w14:solidFill>
              <w14:schemeClr w14:val="accent1"/>
            </w14:solidFill>
          </w14:textFill>
        </w:rPr>
      </w:pPr>
      <w:r>
        <w:rPr>
          <w:rFonts w:hint="eastAsia"/>
          <w:b/>
          <w:bCs/>
          <w:color w:val="4472C4" w:themeColor="accent1"/>
          <w14:textFill>
            <w14:solidFill>
              <w14:schemeClr w14:val="accent1"/>
            </w14:solidFill>
          </w14:textFill>
        </w:rPr>
        <w:t>（3）假设价格涨到P时收到保证金催缴电话，维持保证金比例=权益价值/所欠股票价值=（3000-200P）/200P，解得P=11.54</w:t>
      </w:r>
    </w:p>
    <w:p>
      <w:pPr>
        <w:rPr>
          <w:rFonts w:hint="eastAsia"/>
        </w:rPr>
      </w:pPr>
      <w:r>
        <w:rPr>
          <w:rFonts w:hint="eastAsia"/>
        </w:rPr>
        <w:br w:type="page"/>
      </w:r>
    </w:p>
    <w:p>
      <w:pPr>
        <w:widowControl/>
        <w:jc w:val="left"/>
      </w:pPr>
      <w:r>
        <w:rPr>
          <w:rFonts w:hint="eastAsia"/>
        </w:rPr>
        <w:t>3.</w:t>
      </w:r>
      <w:r>
        <w:tab/>
      </w:r>
      <w:r>
        <w:rPr>
          <w:rFonts w:hint="eastAsia"/>
        </w:rPr>
        <w:t>某投资者期初拥有X、Y、Z、M四支股票，这四支股票价格和持有数量相关数据如下表所示，求该投资者投资组合的预期收益率。</w:t>
      </w:r>
    </w:p>
    <w:tbl>
      <w:tblPr>
        <w:tblStyle w:val="6"/>
        <w:tblW w:w="0" w:type="auto"/>
        <w:tblInd w:w="4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5"/>
        <w:gridCol w:w="2029"/>
        <w:gridCol w:w="2029"/>
        <w:gridCol w:w="20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Pr>
          <w:p>
            <w:pPr>
              <w:rPr>
                <w:kern w:val="0"/>
                <w:sz w:val="20"/>
              </w:rPr>
            </w:pPr>
            <w:r>
              <w:rPr>
                <w:rFonts w:hint="eastAsia"/>
                <w:kern w:val="0"/>
                <w:sz w:val="20"/>
              </w:rPr>
              <w:t>股票</w:t>
            </w:r>
          </w:p>
        </w:tc>
        <w:tc>
          <w:tcPr>
            <w:tcW w:w="2074" w:type="dxa"/>
          </w:tcPr>
          <w:p>
            <w:pPr>
              <w:rPr>
                <w:kern w:val="0"/>
                <w:sz w:val="20"/>
              </w:rPr>
            </w:pPr>
            <w:r>
              <w:rPr>
                <w:rFonts w:hint="eastAsia"/>
                <w:kern w:val="0"/>
                <w:sz w:val="20"/>
              </w:rPr>
              <w:t>持有数量（股）</w:t>
            </w:r>
          </w:p>
        </w:tc>
        <w:tc>
          <w:tcPr>
            <w:tcW w:w="2074" w:type="dxa"/>
          </w:tcPr>
          <w:p>
            <w:pPr>
              <w:rPr>
                <w:kern w:val="0"/>
                <w:sz w:val="20"/>
              </w:rPr>
            </w:pPr>
            <w:r>
              <w:rPr>
                <w:rFonts w:hint="eastAsia"/>
                <w:kern w:val="0"/>
                <w:sz w:val="20"/>
              </w:rPr>
              <w:t>当前价格（元）</w:t>
            </w:r>
          </w:p>
        </w:tc>
        <w:tc>
          <w:tcPr>
            <w:tcW w:w="2074" w:type="dxa"/>
          </w:tcPr>
          <w:p>
            <w:pPr>
              <w:rPr>
                <w:kern w:val="0"/>
                <w:sz w:val="20"/>
              </w:rPr>
            </w:pPr>
            <w:r>
              <w:rPr>
                <w:rFonts w:hint="eastAsia"/>
                <w:kern w:val="0"/>
                <w:sz w:val="20"/>
              </w:rPr>
              <w:t>预期期末价格（元）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Pr>
          <w:p>
            <w:pPr>
              <w:rPr>
                <w:kern w:val="0"/>
                <w:sz w:val="20"/>
              </w:rPr>
            </w:pPr>
            <w:r>
              <w:rPr>
                <w:rFonts w:hint="eastAsia"/>
                <w:kern w:val="0"/>
                <w:sz w:val="20"/>
              </w:rPr>
              <w:t>X</w:t>
            </w:r>
          </w:p>
        </w:tc>
        <w:tc>
          <w:tcPr>
            <w:tcW w:w="2074" w:type="dxa"/>
          </w:tcPr>
          <w:p>
            <w:pPr>
              <w:rPr>
                <w:kern w:val="0"/>
                <w:sz w:val="20"/>
              </w:rPr>
            </w:pPr>
            <w:r>
              <w:rPr>
                <w:rFonts w:hint="eastAsia"/>
                <w:kern w:val="0"/>
                <w:sz w:val="20"/>
              </w:rPr>
              <w:t>1</w:t>
            </w:r>
            <w:r>
              <w:rPr>
                <w:kern w:val="0"/>
                <w:sz w:val="20"/>
              </w:rPr>
              <w:t>00</w:t>
            </w:r>
          </w:p>
        </w:tc>
        <w:tc>
          <w:tcPr>
            <w:tcW w:w="2074" w:type="dxa"/>
          </w:tcPr>
          <w:p>
            <w:pPr>
              <w:rPr>
                <w:kern w:val="0"/>
                <w:sz w:val="20"/>
              </w:rPr>
            </w:pPr>
            <w:r>
              <w:rPr>
                <w:rFonts w:hint="eastAsia"/>
                <w:kern w:val="0"/>
                <w:sz w:val="20"/>
              </w:rPr>
              <w:t>5</w:t>
            </w:r>
            <w:r>
              <w:rPr>
                <w:kern w:val="0"/>
                <w:sz w:val="20"/>
              </w:rPr>
              <w:t>0</w:t>
            </w:r>
          </w:p>
        </w:tc>
        <w:tc>
          <w:tcPr>
            <w:tcW w:w="2074" w:type="dxa"/>
          </w:tcPr>
          <w:p>
            <w:pPr>
              <w:rPr>
                <w:kern w:val="0"/>
                <w:sz w:val="20"/>
              </w:rPr>
            </w:pPr>
            <w:r>
              <w:rPr>
                <w:rFonts w:hint="eastAsia"/>
                <w:kern w:val="0"/>
                <w:sz w:val="20"/>
              </w:rPr>
              <w:t>6</w:t>
            </w:r>
            <w:r>
              <w:rPr>
                <w:kern w:val="0"/>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Pr>
          <w:p>
            <w:pPr>
              <w:rPr>
                <w:kern w:val="0"/>
                <w:sz w:val="20"/>
              </w:rPr>
            </w:pPr>
            <w:r>
              <w:rPr>
                <w:rFonts w:hint="eastAsia"/>
                <w:kern w:val="0"/>
                <w:sz w:val="20"/>
              </w:rPr>
              <w:t>Y</w:t>
            </w:r>
          </w:p>
        </w:tc>
        <w:tc>
          <w:tcPr>
            <w:tcW w:w="2074" w:type="dxa"/>
          </w:tcPr>
          <w:p>
            <w:pPr>
              <w:rPr>
                <w:kern w:val="0"/>
                <w:sz w:val="20"/>
              </w:rPr>
            </w:pPr>
            <w:r>
              <w:rPr>
                <w:rFonts w:hint="eastAsia"/>
                <w:kern w:val="0"/>
                <w:sz w:val="20"/>
              </w:rPr>
              <w:t>2</w:t>
            </w:r>
            <w:r>
              <w:rPr>
                <w:kern w:val="0"/>
                <w:sz w:val="20"/>
              </w:rPr>
              <w:t>00</w:t>
            </w:r>
          </w:p>
        </w:tc>
        <w:tc>
          <w:tcPr>
            <w:tcW w:w="2074" w:type="dxa"/>
          </w:tcPr>
          <w:p>
            <w:pPr>
              <w:rPr>
                <w:kern w:val="0"/>
                <w:sz w:val="20"/>
              </w:rPr>
            </w:pPr>
            <w:r>
              <w:rPr>
                <w:rFonts w:hint="eastAsia"/>
                <w:kern w:val="0"/>
                <w:sz w:val="20"/>
              </w:rPr>
              <w:t>3</w:t>
            </w:r>
            <w:r>
              <w:rPr>
                <w:kern w:val="0"/>
                <w:sz w:val="20"/>
              </w:rPr>
              <w:t>5</w:t>
            </w:r>
          </w:p>
        </w:tc>
        <w:tc>
          <w:tcPr>
            <w:tcW w:w="2074" w:type="dxa"/>
          </w:tcPr>
          <w:p>
            <w:pPr>
              <w:rPr>
                <w:kern w:val="0"/>
                <w:sz w:val="20"/>
              </w:rPr>
            </w:pPr>
            <w:r>
              <w:rPr>
                <w:rFonts w:hint="eastAsia"/>
                <w:kern w:val="0"/>
                <w:sz w:val="20"/>
              </w:rPr>
              <w:t>4</w:t>
            </w:r>
            <w:r>
              <w:rPr>
                <w:kern w:val="0"/>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Pr>
          <w:p>
            <w:pPr>
              <w:rPr>
                <w:kern w:val="0"/>
                <w:sz w:val="20"/>
              </w:rPr>
            </w:pPr>
            <w:r>
              <w:rPr>
                <w:rFonts w:hint="eastAsia"/>
                <w:kern w:val="0"/>
                <w:sz w:val="20"/>
              </w:rPr>
              <w:t>Z</w:t>
            </w:r>
          </w:p>
        </w:tc>
        <w:tc>
          <w:tcPr>
            <w:tcW w:w="2074" w:type="dxa"/>
          </w:tcPr>
          <w:p>
            <w:pPr>
              <w:rPr>
                <w:kern w:val="0"/>
                <w:sz w:val="20"/>
              </w:rPr>
            </w:pPr>
            <w:r>
              <w:rPr>
                <w:rFonts w:hint="eastAsia"/>
                <w:kern w:val="0"/>
                <w:sz w:val="20"/>
              </w:rPr>
              <w:t>5</w:t>
            </w:r>
            <w:r>
              <w:rPr>
                <w:kern w:val="0"/>
                <w:sz w:val="20"/>
              </w:rPr>
              <w:t>0</w:t>
            </w:r>
          </w:p>
        </w:tc>
        <w:tc>
          <w:tcPr>
            <w:tcW w:w="2074" w:type="dxa"/>
          </w:tcPr>
          <w:p>
            <w:pPr>
              <w:rPr>
                <w:kern w:val="0"/>
                <w:sz w:val="20"/>
              </w:rPr>
            </w:pPr>
            <w:r>
              <w:rPr>
                <w:rFonts w:hint="eastAsia"/>
                <w:kern w:val="0"/>
                <w:sz w:val="20"/>
              </w:rPr>
              <w:t>2</w:t>
            </w:r>
            <w:r>
              <w:rPr>
                <w:kern w:val="0"/>
                <w:sz w:val="20"/>
              </w:rPr>
              <w:t>5</w:t>
            </w:r>
          </w:p>
        </w:tc>
        <w:tc>
          <w:tcPr>
            <w:tcW w:w="2074" w:type="dxa"/>
          </w:tcPr>
          <w:p>
            <w:pPr>
              <w:rPr>
                <w:kern w:val="0"/>
                <w:sz w:val="20"/>
              </w:rPr>
            </w:pPr>
            <w:r>
              <w:rPr>
                <w:rFonts w:hint="eastAsia"/>
                <w:kern w:val="0"/>
                <w:sz w:val="20"/>
              </w:rPr>
              <w:t>5</w:t>
            </w:r>
            <w:r>
              <w:rPr>
                <w:kern w:val="0"/>
                <w:sz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Pr>
          <w:p>
            <w:pPr>
              <w:rPr>
                <w:kern w:val="0"/>
                <w:sz w:val="20"/>
              </w:rPr>
            </w:pPr>
            <w:r>
              <w:rPr>
                <w:rFonts w:hint="eastAsia"/>
                <w:kern w:val="0"/>
                <w:sz w:val="20"/>
              </w:rPr>
              <w:t>M</w:t>
            </w:r>
          </w:p>
        </w:tc>
        <w:tc>
          <w:tcPr>
            <w:tcW w:w="2074" w:type="dxa"/>
          </w:tcPr>
          <w:p>
            <w:pPr>
              <w:rPr>
                <w:kern w:val="0"/>
                <w:sz w:val="20"/>
              </w:rPr>
            </w:pPr>
            <w:r>
              <w:rPr>
                <w:rFonts w:hint="eastAsia"/>
                <w:kern w:val="0"/>
                <w:sz w:val="20"/>
              </w:rPr>
              <w:t>1</w:t>
            </w:r>
            <w:r>
              <w:rPr>
                <w:kern w:val="0"/>
                <w:sz w:val="20"/>
              </w:rPr>
              <w:t>00</w:t>
            </w:r>
          </w:p>
        </w:tc>
        <w:tc>
          <w:tcPr>
            <w:tcW w:w="2074" w:type="dxa"/>
          </w:tcPr>
          <w:p>
            <w:pPr>
              <w:rPr>
                <w:kern w:val="0"/>
                <w:sz w:val="20"/>
              </w:rPr>
            </w:pPr>
            <w:r>
              <w:rPr>
                <w:rFonts w:hint="eastAsia"/>
                <w:kern w:val="0"/>
                <w:sz w:val="20"/>
              </w:rPr>
              <w:t>1</w:t>
            </w:r>
            <w:r>
              <w:rPr>
                <w:kern w:val="0"/>
                <w:sz w:val="20"/>
              </w:rPr>
              <w:t>00</w:t>
            </w:r>
          </w:p>
        </w:tc>
        <w:tc>
          <w:tcPr>
            <w:tcW w:w="2074" w:type="dxa"/>
          </w:tcPr>
          <w:p>
            <w:pPr>
              <w:rPr>
                <w:kern w:val="0"/>
                <w:sz w:val="20"/>
              </w:rPr>
            </w:pPr>
            <w:r>
              <w:rPr>
                <w:rFonts w:hint="eastAsia"/>
                <w:kern w:val="0"/>
                <w:sz w:val="20"/>
              </w:rPr>
              <w:t>9</w:t>
            </w:r>
            <w:r>
              <w:rPr>
                <w:kern w:val="0"/>
                <w:sz w:val="20"/>
              </w:rPr>
              <w:t>5</w:t>
            </w:r>
          </w:p>
        </w:tc>
      </w:tr>
    </w:tbl>
    <w:p>
      <w:pPr>
        <w:ind w:left="420" w:hanging="420" w:hangingChars="200"/>
        <w:rPr>
          <w:color w:val="4472C4" w:themeColor="accent1"/>
          <w14:textFill>
            <w14:solidFill>
              <w14:schemeClr w14:val="accent1"/>
            </w14:solidFill>
          </w14:textFill>
        </w:rPr>
      </w:pPr>
      <w:r>
        <w:rPr>
          <w:color w:val="4472C4" w:themeColor="accent1"/>
          <w14:textFill>
            <w14:solidFill>
              <w14:schemeClr w14:val="accent1"/>
            </w14:solidFill>
          </w14:textFill>
        </w:rPr>
        <w:tab/>
      </w:r>
      <w:r>
        <w:rPr>
          <w:rFonts w:hint="eastAsia"/>
          <w:color w:val="4472C4" w:themeColor="accent1"/>
          <w14:textFill>
            <w14:solidFill>
              <w14:schemeClr w14:val="accent1"/>
            </w14:solidFill>
          </w14:textFill>
        </w:rPr>
        <w:t>答题要点：</w:t>
      </w:r>
    </w:p>
    <w:p>
      <w:pPr>
        <w:ind w:left="420" w:hanging="420" w:hangingChars="200"/>
        <w:rPr>
          <w:color w:val="4472C4" w:themeColor="accent1"/>
          <w14:textFill>
            <w14:solidFill>
              <w14:schemeClr w14:val="accent1"/>
            </w14:solidFill>
          </w14:textFill>
        </w:rPr>
      </w:pPr>
      <w:r>
        <w:rPr>
          <w:color w:val="4472C4" w:themeColor="accent1"/>
          <w14:textFill>
            <w14:solidFill>
              <w14:schemeClr w14:val="accent1"/>
            </w14:solidFill>
          </w14:textFill>
        </w:rPr>
        <w:tab/>
      </w:r>
      <w:r>
        <w:rPr>
          <w:color w:val="4472C4" w:themeColor="accent1"/>
          <w:position w:val="-46"/>
          <w14:textFill>
            <w14:solidFill>
              <w14:schemeClr w14:val="accent1"/>
            </w14:solidFill>
          </w14:textFill>
        </w:rPr>
        <w:object>
          <v:shape id="_x0000_i1027" o:spt="75" type="#_x0000_t75" style="height:53.75pt;width:324.55pt;" o:ole="t" filled="f" o:preferrelative="t" stroked="f" coordsize="21600,21600">
            <v:path/>
            <v:fill on="f" focussize="0,0"/>
            <v:stroke on="f" joinstyle="miter"/>
            <v:imagedata r:id="rId7" o:title=""/>
            <o:lock v:ext="edit" aspectratio="t"/>
            <w10:wrap type="none"/>
            <w10:anchorlock/>
          </v:shape>
          <o:OLEObject Type="Embed" ProgID="Equation.DSMT4" ShapeID="_x0000_i1027" DrawAspect="Content" ObjectID="_1468075726" r:id="rId6">
            <o:LockedField>false</o:LockedField>
          </o:OLEObject>
        </w:objec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789"/>
    <w:rsid w:val="000474E4"/>
    <w:rsid w:val="002A5614"/>
    <w:rsid w:val="002D61A1"/>
    <w:rsid w:val="003461DD"/>
    <w:rsid w:val="004C5AAC"/>
    <w:rsid w:val="00545B0C"/>
    <w:rsid w:val="00557079"/>
    <w:rsid w:val="006223BE"/>
    <w:rsid w:val="00660A99"/>
    <w:rsid w:val="00750D96"/>
    <w:rsid w:val="00771789"/>
    <w:rsid w:val="008B471D"/>
    <w:rsid w:val="008C0448"/>
    <w:rsid w:val="00A71950"/>
    <w:rsid w:val="00AE2812"/>
    <w:rsid w:val="00BE7B85"/>
    <w:rsid w:val="00DA5F0F"/>
    <w:rsid w:val="00EC5F21"/>
    <w:rsid w:val="7E213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uiPriority w:val="0"/>
    <w:pPr>
      <w:widowControl/>
      <w:spacing w:before="100" w:beforeAutospacing="1" w:after="100" w:afterAutospacing="1"/>
      <w:jc w:val="left"/>
    </w:pPr>
    <w:rPr>
      <w:rFonts w:ascii="宋体" w:hAnsi="宋体" w:cs="宋体"/>
      <w:kern w:val="0"/>
      <w:sz w:val="24"/>
    </w:rPr>
  </w:style>
  <w:style w:type="table" w:styleId="6">
    <w:name w:val="Table Grid"/>
    <w:basedOn w:val="5"/>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uiPriority w:val="99"/>
    <w:rPr>
      <w:sz w:val="18"/>
      <w:szCs w:val="18"/>
    </w:rPr>
  </w:style>
  <w:style w:type="character" w:customStyle="1" w:styleId="9">
    <w:name w:val="页脚 字符"/>
    <w:basedOn w:val="7"/>
    <w:link w:val="2"/>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419</Words>
  <Characters>2391</Characters>
  <Lines>19</Lines>
  <Paragraphs>5</Paragraphs>
  <TotalTime>2</TotalTime>
  <ScaleCrop>false</ScaleCrop>
  <LinksUpToDate>false</LinksUpToDate>
  <CharactersWithSpaces>2805</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2021-04-18T08:17:00Z</dcterms:created>
  <dc:creator>Eric</dc:creator>
  <cp:lastModifiedBy>台州育华学校李才聪</cp:lastModifiedBy>
  <dcterms:modified xsi:type="dcterms:W3CDTF">2021-06-18T11:56:24Z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